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5608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0895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Scribner Andrew</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619100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KIMBERLY CLARK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KMB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04/26/2026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70"/>
        <w:spacing w:after="0"/>
        <w:rPr>
          <w:sz w:val="20"/>
          <w:szCs w:val="20"/>
          <w:color w:val="auto"/>
        </w:rPr>
      </w:pPr>
      <w:r>
        <w:rPr>
          <w:rFonts w:ascii="Times New Roman" w:cs="Times New Roman" w:eastAsia="Times New Roman" w:hAnsi="Times New Roman"/>
          <w:sz w:val="17"/>
          <w:szCs w:val="17"/>
          <w:color w:val="0000FF"/>
        </w:rPr>
        <w:t>Controller, VP &amp; FP&amp;A</w:t>
      </w:r>
    </w:p>
    <w:p>
      <w:pPr>
        <w:spacing w:after="0" w:line="309"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7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75261-9100</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38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jc w:val="center"/>
              <w:ind w:left="57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7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00" w:type="dxa"/>
            <w:vAlign w:val="bottom"/>
            <w:gridSpan w:val="2"/>
          </w:tcPr>
          <w:p>
            <w:pPr>
              <w:jc w:val="center"/>
              <w:ind w:left="56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04/26/2026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3,234</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jc w:val="center"/>
              <w:spacing w:after="0" w:line="307" w:lineRule="exact"/>
              <w:rPr>
                <w:sz w:val="20"/>
                <w:szCs w:val="20"/>
                <w:color w:val="auto"/>
              </w:rPr>
            </w:pPr>
            <w:r>
              <w:rPr>
                <w:rFonts w:ascii="Times New Roman" w:cs="Times New Roman" w:eastAsia="Times New Roman" w:hAnsi="Times New Roman"/>
                <w:sz w:val="33"/>
                <w:szCs w:val="33"/>
                <w:color w:val="0000FF"/>
                <w:w w:val="83"/>
                <w:vertAlign w:val="subscript"/>
              </w:rPr>
              <w:t>A</w:t>
            </w:r>
            <w:r>
              <w:rPr>
                <w:rFonts w:ascii="Times New Roman" w:cs="Times New Roman" w:eastAsia="Times New Roman" w:hAnsi="Times New Roman"/>
                <w:sz w:val="11"/>
                <w:szCs w:val="11"/>
                <w:color w:val="008000"/>
                <w:w w:val="83"/>
              </w:rPr>
              <w:t>(1)</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0.0000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3,234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04/26/2026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5"/>
              </w:rPr>
              <w:t>862</w:t>
            </w:r>
            <w:r>
              <w:rPr>
                <w:rFonts w:ascii="Times New Roman" w:cs="Times New Roman" w:eastAsia="Times New Roman" w:hAnsi="Times New Roman"/>
                <w:sz w:val="21"/>
                <w:szCs w:val="21"/>
                <w:color w:val="008000"/>
                <w:w w:val="85"/>
                <w:vertAlign w:val="superscript"/>
              </w:rPr>
              <w:t>(2)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0.0000</w:t>
            </w:r>
            <w:r>
              <w:rPr>
                <w:rFonts w:ascii="Times New Roman" w:cs="Times New Roman" w:eastAsia="Times New Roman" w:hAnsi="Times New Roman"/>
                <w:sz w:val="21"/>
                <w:szCs w:val="21"/>
                <w:color w:val="008000"/>
                <w:w w:val="90"/>
                <w:vertAlign w:val="superscript"/>
              </w:rPr>
              <w:t>(3)</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4,096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04/26/2026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211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97.85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3,885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04/26/2026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(5)</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788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97.85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3,097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w w:val="89"/>
              </w:rPr>
              <w:t>862</w:t>
            </w:r>
            <w:r>
              <w:rPr>
                <w:rFonts w:ascii="Times New Roman" w:cs="Times New Roman" w:eastAsia="Times New Roman" w:hAnsi="Times New Roman"/>
                <w:sz w:val="21"/>
                <w:szCs w:val="21"/>
                <w:color w:val="008000"/>
                <w:w w:val="89"/>
                <w:vertAlign w:val="superscript"/>
              </w:rPr>
              <w:t>(2)</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862</w:t>
            </w:r>
          </w:p>
        </w:tc>
        <w:tc>
          <w:tcPr>
            <w:tcW w:w="6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1"/>
                <w:szCs w:val="21"/>
                <w:color w:val="008000"/>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840" w:type="dxa"/>
            <w:vAlign w:val="bottom"/>
            <w:gridSpan w:val="3"/>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4/26/2023</w:t>
            </w:r>
          </w:p>
        </w:tc>
        <w:tc>
          <w:tcPr>
            <w:tcW w:w="76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04/26/2026</w:t>
            </w:r>
          </w:p>
        </w:tc>
        <w:tc>
          <w:tcPr>
            <w:tcW w:w="1280" w:type="dxa"/>
            <w:vAlign w:val="bottom"/>
          </w:tcPr>
          <w:p>
            <w:pPr>
              <w:spacing w:after="0"/>
              <w:rPr>
                <w:sz w:val="5"/>
                <w:szCs w:val="5"/>
                <w:color w:val="auto"/>
              </w:rPr>
            </w:pPr>
          </w:p>
        </w:tc>
        <w:tc>
          <w:tcPr>
            <w:tcW w:w="42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rPr>
              <w:t>0.0000</w:t>
            </w:r>
          </w:p>
        </w:tc>
        <w:tc>
          <w:tcPr>
            <w:tcW w:w="26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84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(w/dividends</w:t>
            </w: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reinvested)</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6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share units that have vested and are paid out in shares of common stock and includes restricted share units which were accrued based on dividends paid on the Corporation's common stock.</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that have vested and are paid out in shares of common stock. Includes restricted share units which were accrued based on dividends paid on the Corporation's common stock.</w:t>
      </w:r>
    </w:p>
    <w:p>
      <w:pPr>
        <w:spacing w:after="0" w:line="43" w:lineRule="exact"/>
        <w:rPr>
          <w:rFonts w:ascii="Times New Roman" w:cs="Times New Roman" w:eastAsia="Times New Roman" w:hAnsi="Times New Roman"/>
          <w:sz w:val="13"/>
          <w:szCs w:val="13"/>
          <w:color w:val="008000"/>
        </w:rPr>
      </w:pPr>
    </w:p>
    <w:p>
      <w:pPr>
        <w:ind w:left="40" w:right="7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payable on a 1-for-1 basis, granted under the Kimberly-Clark Corporation Equity Participation Plan. Additional restricted share units are accrued based on dividends paid on the Corporation's common stock.</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automatic surrender of shares to the issuer upon vesting of restricted shares units to satisfy the reporting person's tax withholding obligations.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automatic surrender of shares to the issuer upon vesting of performance-based restricted share units to satisfy the reporting person's tax withholding obligations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 30 percent on each of the first and second anniversaries of the grant date and the remaining 40 percent on the third anniversary of the grant date.</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Jeffrey S. McFall, as attorney-</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04/27/2026</w:t>
            </w:r>
          </w:p>
        </w:tc>
        <w:tc>
          <w:tcPr>
            <w:tcW w:w="0" w:type="dxa"/>
            <w:vAlign w:val="bottom"/>
          </w:tcPr>
          <w:p>
            <w:pPr>
              <w:spacing w:after="0"/>
              <w:rPr>
                <w:sz w:val="1"/>
                <w:szCs w:val="1"/>
                <w:color w:val="auto"/>
              </w:rPr>
            </w:pPr>
          </w:p>
        </w:tc>
      </w:tr>
      <w:tr>
        <w:trPr>
          <w:trHeight w:val="83"/>
        </w:trPr>
        <w:tc>
          <w:tcPr>
            <w:tcW w:w="186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7"/>
              </w:rPr>
              <w:t>in-fact for Andrew Scribner</w:t>
            </w:r>
          </w:p>
        </w:tc>
        <w:tc>
          <w:tcPr>
            <w:tcW w:w="2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6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60207"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2026-04-29T13:53:32Z</dcterms:created>
  <dcterms:modified xsi:type="dcterms:W3CDTF">2026-04-29T13:53:32Z</dcterms:modified>
</cp:coreProperties>
</file>