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(Mark One)</w:t>
      </w:r>
    </w:p>
    <w:p>
      <w:pPr>
        <w:pStyle w:val="TextBody"/>
        <w:bidi w:val="0"/>
        <w:spacing w:lineRule="auto" w:line="288" w:before="180" w:after="283"/>
        <w:ind w:left="0" w:right="0" w:hanging="360"/>
        <w:jc w:val="left"/>
        <w:rPr/>
      </w:pPr>
      <w:r>
        <w:rPr>
          <w:color w:val="000000"/>
        </w:rPr>
        <w:t>☒    </w:t>
      </w:r>
      <w:r>
        <w:rPr>
          <w:rFonts w:ascii="Arial;sans-serif" w:hAnsi="Arial;sans-serif"/>
          <w:b/>
          <w:color w:val="000000"/>
          <w:sz w:val="20"/>
        </w:rPr>
        <w:t>QUARTERLY REPORT PURSUANT TO SECTION 13 OR 15(d) OF THE SECURITIES EXCHANGE ACT OF 1934</w:t>
      </w:r>
    </w:p>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For the quarterly period ended June 30, 2026</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60" w:after="283"/>
        <w:ind w:left="0" w:right="0" w:hanging="360"/>
        <w:jc w:val="both"/>
        <w:rPr/>
      </w:pPr>
      <w:r>
        <w:rPr>
          <w:color w:val="000000"/>
        </w:rPr>
        <w:t>☐    </w:t>
      </w:r>
      <w:r>
        <w:rPr>
          <w:rFonts w:ascii="Arial;sans-serif" w:hAnsi="Arial;sans-serif"/>
          <w:b/>
          <w:color w:val="000000"/>
          <w:sz w:val="20"/>
        </w:rPr>
        <w:t>TRANSITION REPORT PURSUANT TO SECTION 13 OR 15(d) OF THE SECURITIES EXCHANGE ACT OF 1934</w:t>
      </w:r>
    </w:p>
    <w:p>
      <w:pPr>
        <w:pStyle w:val="TextBody"/>
        <w:bidi w:val="0"/>
        <w:spacing w:before="60" w:after="283"/>
        <w:ind w:left="0" w:right="0" w:hanging="360"/>
        <w:jc w:val="both"/>
        <w:rPr/>
      </w:pPr>
      <w:r>
        <w:rPr/>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For the transition period from ________ to ________</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1-225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0003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390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KIMBERLY-CLARK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316" w:type="dxa"/>
        <w:jc w:val="center"/>
        <w:tblInd w:w="0" w:type="dxa"/>
        <w:tblLayout w:type="fixed"/>
        <w:tblCellMar>
          <w:top w:w="28" w:type="dxa"/>
          <w:left w:w="28" w:type="dxa"/>
          <w:bottom w:w="28" w:type="dxa"/>
          <w:right w:w="28" w:type="dxa"/>
        </w:tblCellMar>
      </w:tblPr>
      <w:tblGrid>
        <w:gridCol w:w="873"/>
        <w:gridCol w:w="766"/>
        <w:gridCol w:w="776"/>
        <w:gridCol w:w="109"/>
        <w:gridCol w:w="109"/>
        <w:gridCol w:w="109"/>
        <w:gridCol w:w="460"/>
        <w:gridCol w:w="460"/>
        <w:gridCol w:w="65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39-0394230</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P.O. Box 619100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Dallas, TX</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75261-9100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(Zip code)</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(972) 281-1200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753"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534"/>
        <w:gridCol w:w="534"/>
        <w:gridCol w:w="536"/>
        <w:gridCol w:w="109"/>
        <w:gridCol w:w="109"/>
        <w:gridCol w:w="109"/>
        <w:gridCol w:w="1108"/>
        <w:gridCol w:w="1108"/>
        <w:gridCol w:w="15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7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100" w:after="283"/>
        <w:ind w:left="0" w:right="0" w:firstLine="495"/>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w:t>
      </w:r>
      <w:r>
        <w:rPr>
          <w:rFonts w:ascii="Wingdings;sans-serif" w:hAnsi="Wingdings;sans-serif"/>
          <w:b w:val="false"/>
          <w:color w:val="000000"/>
          <w:sz w:val="20"/>
        </w:rPr>
        <w:t>x</w:t>
      </w:r>
      <w:r>
        <w:rPr>
          <w:color w:val="000000"/>
        </w:rPr>
        <w:t>    </w:t>
      </w:r>
      <w:r>
        <w:rPr>
          <w:rFonts w:ascii="Arial;sans-serif" w:hAnsi="Arial;sans-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283"/>
        <w:ind w:left="0" w:right="0" w:firstLine="495"/>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w:t>
      </w:r>
      <w:r>
        <w:rPr>
          <w:rFonts w:ascii="Wingdings;sans-serif" w:hAnsi="Wingdings;sans-serif"/>
          <w:b w:val="false"/>
          <w:color w:val="000000"/>
          <w:sz w:val="20"/>
        </w:rPr>
        <w:t>x</w:t>
      </w:r>
      <w:r>
        <w:rPr>
          <w:color w:val="000000"/>
        </w:rPr>
        <w:t>    </w:t>
      </w:r>
      <w:r>
        <w:rPr>
          <w:rFonts w:ascii="Arial;sans-serif" w:hAnsi="Arial;sans-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60"/>
        <w:ind w:left="0" w:right="0" w:firstLine="495"/>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8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70"/>
        <w:gridCol w:w="770"/>
        <w:gridCol w:w="771"/>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0"/>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50"/>
        <w:jc w:val="both"/>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120" w:after="283"/>
        <w:ind w:left="0" w:right="0" w:firstLine="450"/>
        <w:jc w:val="both"/>
        <w:rPr/>
      </w:pPr>
      <w:r>
        <w:rPr>
          <w:rFonts w:ascii="Arial;sans-serif" w:hAnsi="Arial;sans-serif"/>
          <w:b w:val="false"/>
          <w:color w:val="000000"/>
          <w:sz w:val="18"/>
        </w:rPr>
        <w:t>Indicate by check mark whether the registrant is a shell company (as defined in Rule 12b-2 of the Exchange Act). Yes  ☐    No </w:t>
      </w:r>
      <w:r>
        <w:rPr>
          <w:rFonts w:ascii="Wingdings;sans-serif" w:hAnsi="Wingdings;sans-serif"/>
          <w:b w:val="false"/>
          <w:color w:val="000000"/>
          <w:sz w:val="20"/>
        </w:rPr>
        <w:t>x</w:t>
      </w:r>
    </w:p>
    <w:p>
      <w:pPr>
        <w:pStyle w:val="TextBody"/>
        <w:bidi w:val="0"/>
        <w:spacing w:lineRule="auto" w:line="288" w:before="120" w:after="283"/>
        <w:ind w:left="0" w:right="0" w:firstLine="450"/>
        <w:jc w:val="both"/>
        <w:rPr>
          <w:rFonts w:ascii="Arial;sans-serif" w:hAnsi="Arial;sans-serif"/>
          <w:b w:val="false"/>
          <w:color w:val="000000"/>
          <w:sz w:val="18"/>
        </w:rPr>
      </w:pPr>
      <w:r>
        <w:rPr>
          <w:rFonts w:ascii="Arial;sans-serif" w:hAnsi="Arial;sans-serif"/>
          <w:b w:val="false"/>
          <w:color w:val="000000"/>
          <w:sz w:val="18"/>
        </w:rPr>
        <w:t>As of July 28, 2026, there were 332,579,038 shares of the Corporation's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59"/>
        <w:gridCol w:w="3129"/>
        <w:gridCol w:w="3144"/>
        <w:gridCol w:w="109"/>
        <w:gridCol w:w="109"/>
        <w:gridCol w:w="155"/>
      </w:tblGrid>
      <w:tr>
        <w:trPr/>
        <w:tc>
          <w:tcPr>
            <w:tcW w:w="3559"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10">
              <w:r>
                <w:rPr>
                  <w:rStyle w:val="InternetLink"/>
                  <w:rFonts w:ascii="Arial;sans-serif" w:hAnsi="Arial;sans-serif"/>
                  <w:b w:val="false"/>
                  <w:color w:val="0000FF"/>
                  <w:sz w:val="20"/>
                  <w:u w:val="single"/>
                </w:rPr>
                <w:t>PART I – FINANCIAL INFORMATION</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10">
              <w:r>
                <w:rPr>
                  <w:rStyle w:val="InternetLink"/>
                  <w:rFonts w:ascii="Arial;sans-serif" w:hAnsi="Arial;sans-serif"/>
                  <w:b w:val="false"/>
                  <w:color w:val="0000FF"/>
                  <w:sz w:val="20"/>
                  <w:u w:val="single"/>
                </w:rPr>
                <w:t>1</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13">
              <w:r>
                <w:rPr>
                  <w:rStyle w:val="InternetLink"/>
                  <w:rFonts w:ascii="Arial;sans-serif" w:hAnsi="Arial;sans-serif"/>
                  <w:b w:val="false"/>
                  <w:color w:val="0000FF"/>
                  <w:sz w:val="20"/>
                  <w:u w:val="single"/>
                </w:rPr>
                <w:t>Item 1. Financial Statements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13">
              <w:r>
                <w:rPr>
                  <w:rStyle w:val="InternetLink"/>
                  <w:rFonts w:ascii="Arial;sans-serif" w:hAnsi="Arial;sans-serif"/>
                  <w:b w:val="false"/>
                  <w:color w:val="0000FF"/>
                  <w:sz w:val="20"/>
                  <w:u w:val="single"/>
                </w:rPr>
                <w:t>1</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16">
              <w:r>
                <w:rPr>
                  <w:rStyle w:val="InternetLink"/>
                  <w:rFonts w:ascii="Arial;sans-serif" w:hAnsi="Arial;sans-serif"/>
                  <w:b w:val="false"/>
                  <w:color w:val="000080"/>
                  <w:sz w:val="20"/>
                  <w:u w:val="single"/>
                </w:rPr>
                <w:t xml:space="preserve">Condensed Consolidated Statements of Income for the </w:t>
              </w:r>
            </w:hyperlink>
            <w:hyperlink w:anchor="i17039f1b25f54026b173bd8d6302d10e_16">
              <w:r>
                <w:rPr>
                  <w:rStyle w:val="InternetLink"/>
                  <w:rFonts w:ascii="Arial;sans-serif" w:hAnsi="Arial;sans-serif"/>
                  <w:b w:val="false"/>
                  <w:color w:val="000080"/>
                  <w:sz w:val="20"/>
                  <w:u w:val="single"/>
                </w:rPr>
                <w:t xml:space="preserve">Three and </w:t>
              </w:r>
            </w:hyperlink>
            <w:hyperlink w:anchor="i17039f1b25f54026b173bd8d6302d10e_16">
              <w:r>
                <w:rPr>
                  <w:rStyle w:val="InternetLink"/>
                  <w:rFonts w:ascii="Arial;sans-serif" w:hAnsi="Arial;sans-serif"/>
                  <w:b w:val="false"/>
                  <w:color w:val="000080"/>
                  <w:sz w:val="20"/>
                  <w:u w:val="single"/>
                </w:rPr>
                <w:t>Six</w:t>
              </w:r>
            </w:hyperlink>
            <w:hyperlink w:anchor="i17039f1b25f54026b173bd8d6302d10e_16">
              <w:r>
                <w:rPr>
                  <w:rStyle w:val="InternetLink"/>
                  <w:rFonts w:ascii="Arial;sans-serif" w:hAnsi="Arial;sans-serif"/>
                  <w:b w:val="false"/>
                  <w:color w:val="000080"/>
                  <w:sz w:val="20"/>
                  <w:u w:val="single"/>
                </w:rPr>
                <w:t xml:space="preserve"> Months Ended </w:t>
              </w:r>
            </w:hyperlink>
            <w:hyperlink w:anchor="i17039f1b25f54026b173bd8d6302d10e_16">
              <w:r>
                <w:rPr>
                  <w:rStyle w:val="InternetLink"/>
                  <w:rFonts w:ascii="Arial;sans-serif" w:hAnsi="Arial;sans-serif"/>
                  <w:b w:val="false"/>
                  <w:color w:val="000080"/>
                  <w:sz w:val="20"/>
                  <w:u w:val="single"/>
                </w:rPr>
                <w:t>June</w:t>
              </w:r>
            </w:hyperlink>
            <w:hyperlink w:anchor="i17039f1b25f54026b173bd8d6302d10e_16">
              <w:r>
                <w:rPr>
                  <w:rStyle w:val="InternetLink"/>
                  <w:rFonts w:ascii="Arial;sans-serif" w:hAnsi="Arial;sans-serif"/>
                  <w:b w:val="false"/>
                  <w:color w:val="000080"/>
                  <w:sz w:val="20"/>
                  <w:u w:val="single"/>
                </w:rPr>
                <w:t xml:space="preserve"> 3</w:t>
              </w:r>
            </w:hyperlink>
            <w:hyperlink w:anchor="i17039f1b25f54026b173bd8d6302d10e_16">
              <w:r>
                <w:rPr>
                  <w:rStyle w:val="InternetLink"/>
                  <w:rFonts w:ascii="Arial;sans-serif" w:hAnsi="Arial;sans-serif"/>
                  <w:b w:val="false"/>
                  <w:color w:val="000080"/>
                  <w:sz w:val="20"/>
                  <w:u w:val="single"/>
                </w:rPr>
                <w:t>0</w:t>
              </w:r>
            </w:hyperlink>
            <w:hyperlink w:anchor="i17039f1b25f54026b173bd8d6302d10e_16">
              <w:r>
                <w:rPr>
                  <w:rStyle w:val="InternetLink"/>
                  <w:rFonts w:ascii="Arial;sans-serif" w:hAnsi="Arial;sans-serif"/>
                  <w:b w:val="false"/>
                  <w:color w:val="000080"/>
                  <w:sz w:val="20"/>
                  <w:u w:val="single"/>
                </w:rPr>
                <w:t>, 2026 and 2025</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16">
              <w:r>
                <w:rPr>
                  <w:rStyle w:val="InternetLink"/>
                  <w:rFonts w:ascii="Arial;sans-serif" w:hAnsi="Arial;sans-serif"/>
                  <w:b w:val="false"/>
                  <w:color w:val="0000FF"/>
                  <w:sz w:val="20"/>
                  <w:u w:val="single"/>
                </w:rPr>
                <w:t>1</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19">
              <w:r>
                <w:rPr>
                  <w:rStyle w:val="InternetLink"/>
                  <w:rFonts w:ascii="Arial;sans-serif" w:hAnsi="Arial;sans-serif"/>
                  <w:b w:val="false"/>
                  <w:color w:val="000080"/>
                  <w:sz w:val="20"/>
                  <w:u w:val="single"/>
                </w:rPr>
                <w:t>Condensed Consolidated Statements of Comprehensive Income for the</w:t>
              </w:r>
            </w:hyperlink>
            <w:hyperlink w:anchor="i17039f1b25f54026b173bd8d6302d10e_19">
              <w:r>
                <w:rPr>
                  <w:rStyle w:val="InternetLink"/>
                  <w:rFonts w:ascii="Arial;sans-serif" w:hAnsi="Arial;sans-serif"/>
                  <w:b w:val="false"/>
                  <w:color w:val="000080"/>
                  <w:sz w:val="20"/>
                  <w:u w:val="single"/>
                </w:rPr>
                <w:t xml:space="preserve"> Three and</w:t>
              </w:r>
            </w:hyperlink>
            <w:hyperlink w:anchor="i17039f1b25f54026b173bd8d6302d10e_19">
              <w:r>
                <w:rPr>
                  <w:rStyle w:val="InternetLink"/>
                  <w:rFonts w:ascii="Arial;sans-serif" w:hAnsi="Arial;sans-serif"/>
                  <w:b w:val="false"/>
                  <w:color w:val="000080"/>
                  <w:sz w:val="20"/>
                  <w:u w:val="single"/>
                </w:rPr>
                <w:t xml:space="preserve"> </w:t>
              </w:r>
            </w:hyperlink>
            <w:hyperlink w:anchor="i17039f1b25f54026b173bd8d6302d10e_19">
              <w:r>
                <w:rPr>
                  <w:rStyle w:val="InternetLink"/>
                  <w:rFonts w:ascii="Arial;sans-serif" w:hAnsi="Arial;sans-serif"/>
                  <w:b w:val="false"/>
                  <w:color w:val="000080"/>
                  <w:sz w:val="20"/>
                  <w:u w:val="single"/>
                </w:rPr>
                <w:t>Six</w:t>
              </w:r>
            </w:hyperlink>
            <w:hyperlink w:anchor="i17039f1b25f54026b173bd8d6302d10e_19">
              <w:r>
                <w:rPr>
                  <w:rStyle w:val="InternetLink"/>
                  <w:rFonts w:ascii="Arial;sans-serif" w:hAnsi="Arial;sans-serif"/>
                  <w:b w:val="false"/>
                  <w:color w:val="000080"/>
                  <w:sz w:val="20"/>
                  <w:u w:val="single"/>
                </w:rPr>
                <w:t xml:space="preserve"> Months Ended </w:t>
              </w:r>
            </w:hyperlink>
            <w:hyperlink w:anchor="i17039f1b25f54026b173bd8d6302d10e_19">
              <w:r>
                <w:rPr>
                  <w:rStyle w:val="InternetLink"/>
                  <w:rFonts w:ascii="Arial;sans-serif" w:hAnsi="Arial;sans-serif"/>
                  <w:b w:val="false"/>
                  <w:color w:val="000080"/>
                  <w:sz w:val="20"/>
                  <w:u w:val="single"/>
                </w:rPr>
                <w:t>June</w:t>
              </w:r>
            </w:hyperlink>
            <w:hyperlink w:anchor="i17039f1b25f54026b173bd8d6302d10e_19">
              <w:r>
                <w:rPr>
                  <w:rStyle w:val="InternetLink"/>
                  <w:rFonts w:ascii="Arial;sans-serif" w:hAnsi="Arial;sans-serif"/>
                  <w:b w:val="false"/>
                  <w:color w:val="000080"/>
                  <w:sz w:val="20"/>
                  <w:u w:val="single"/>
                </w:rPr>
                <w:t xml:space="preserve"> </w:t>
              </w:r>
            </w:hyperlink>
            <w:hyperlink w:anchor="i17039f1b25f54026b173bd8d6302d10e_19">
              <w:r>
                <w:rPr>
                  <w:rStyle w:val="InternetLink"/>
                  <w:rFonts w:ascii="Arial;sans-serif" w:hAnsi="Arial;sans-serif"/>
                  <w:b w:val="false"/>
                  <w:color w:val="000080"/>
                  <w:sz w:val="20"/>
                  <w:u w:val="single"/>
                </w:rPr>
                <w:t>3</w:t>
              </w:r>
            </w:hyperlink>
            <w:hyperlink w:anchor="i17039f1b25f54026b173bd8d6302d10e_19">
              <w:r>
                <w:rPr>
                  <w:rStyle w:val="InternetLink"/>
                  <w:rFonts w:ascii="Arial;sans-serif" w:hAnsi="Arial;sans-serif"/>
                  <w:b w:val="false"/>
                  <w:color w:val="000080"/>
                  <w:sz w:val="20"/>
                  <w:u w:val="single"/>
                </w:rPr>
                <w:t>0</w:t>
              </w:r>
            </w:hyperlink>
            <w:hyperlink w:anchor="i17039f1b25f54026b173bd8d6302d10e_19">
              <w:r>
                <w:rPr>
                  <w:rStyle w:val="InternetLink"/>
                  <w:rFonts w:ascii="Arial;sans-serif" w:hAnsi="Arial;sans-serif"/>
                  <w:b w:val="false"/>
                  <w:color w:val="000080"/>
                  <w:sz w:val="20"/>
                  <w:u w:val="single"/>
                </w:rPr>
                <w:t>, 2026 and 2025</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19">
              <w:r>
                <w:rPr>
                  <w:rStyle w:val="InternetLink"/>
                  <w:rFonts w:ascii="Arial;sans-serif" w:hAnsi="Arial;sans-serif"/>
                  <w:b w:val="false"/>
                  <w:color w:val="0000FF"/>
                  <w:sz w:val="20"/>
                  <w:u w:val="single"/>
                </w:rPr>
                <w:t>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22">
              <w:r>
                <w:rPr>
                  <w:rStyle w:val="InternetLink"/>
                  <w:rFonts w:ascii="Arial;sans-serif" w:hAnsi="Arial;sans-serif"/>
                  <w:b w:val="false"/>
                  <w:color w:val="000080"/>
                  <w:sz w:val="20"/>
                  <w:u w:val="single"/>
                </w:rPr>
                <w:t xml:space="preserve">Condensed Consolidated Balance Sheets as of </w:t>
              </w:r>
            </w:hyperlink>
            <w:hyperlink w:anchor="i17039f1b25f54026b173bd8d6302d10e_22">
              <w:r>
                <w:rPr>
                  <w:rStyle w:val="InternetLink"/>
                  <w:rFonts w:ascii="Arial;sans-serif" w:hAnsi="Arial;sans-serif"/>
                  <w:b w:val="false"/>
                  <w:color w:val="000080"/>
                  <w:sz w:val="20"/>
                  <w:u w:val="single"/>
                </w:rPr>
                <w:t>June</w:t>
              </w:r>
            </w:hyperlink>
            <w:hyperlink w:anchor="i17039f1b25f54026b173bd8d6302d10e_22">
              <w:r>
                <w:rPr>
                  <w:rStyle w:val="InternetLink"/>
                  <w:rFonts w:ascii="Arial;sans-serif" w:hAnsi="Arial;sans-serif"/>
                  <w:b w:val="false"/>
                  <w:color w:val="000080"/>
                  <w:sz w:val="20"/>
                  <w:u w:val="single"/>
                </w:rPr>
                <w:t xml:space="preserve"> 3</w:t>
              </w:r>
            </w:hyperlink>
            <w:hyperlink w:anchor="i17039f1b25f54026b173bd8d6302d10e_22">
              <w:r>
                <w:rPr>
                  <w:rStyle w:val="InternetLink"/>
                  <w:rFonts w:ascii="Arial;sans-serif" w:hAnsi="Arial;sans-serif"/>
                  <w:b w:val="false"/>
                  <w:color w:val="000080"/>
                  <w:sz w:val="20"/>
                  <w:u w:val="single"/>
                </w:rPr>
                <w:t>0</w:t>
              </w:r>
            </w:hyperlink>
            <w:hyperlink w:anchor="i17039f1b25f54026b173bd8d6302d10e_22">
              <w:r>
                <w:rPr>
                  <w:rStyle w:val="InternetLink"/>
                  <w:rFonts w:ascii="Arial;sans-serif" w:hAnsi="Arial;sans-serif"/>
                  <w:b w:val="false"/>
                  <w:color w:val="000080"/>
                  <w:sz w:val="20"/>
                  <w:u w:val="single"/>
                </w:rPr>
                <w:t>, 2026 and December 31, 2025</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22">
              <w:r>
                <w:rPr>
                  <w:rStyle w:val="InternetLink"/>
                  <w:rFonts w:ascii="Arial;sans-serif" w:hAnsi="Arial;sans-serif"/>
                  <w:b w:val="false"/>
                  <w:color w:val="0000FF"/>
                  <w:sz w:val="20"/>
                  <w:u w:val="single"/>
                </w:rPr>
                <w:t>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25">
              <w:r>
                <w:rPr>
                  <w:rStyle w:val="InternetLink"/>
                  <w:rFonts w:ascii="Arial;sans-serif" w:hAnsi="Arial;sans-serif"/>
                  <w:b w:val="false"/>
                  <w:color w:val="000080"/>
                  <w:sz w:val="20"/>
                  <w:u w:val="single"/>
                </w:rPr>
                <w:t>Condensed Consolidated Statements of Stockholders' Equity for the</w:t>
              </w:r>
            </w:hyperlink>
            <w:hyperlink w:anchor="i17039f1b25f54026b173bd8d6302d10e_25">
              <w:r>
                <w:rPr>
                  <w:rStyle w:val="InternetLink"/>
                  <w:rFonts w:ascii="Arial;sans-serif" w:hAnsi="Arial;sans-serif"/>
                  <w:b w:val="false"/>
                  <w:color w:val="000080"/>
                  <w:sz w:val="20"/>
                  <w:u w:val="single"/>
                </w:rPr>
                <w:t xml:space="preserve"> Three and</w:t>
              </w:r>
            </w:hyperlink>
            <w:hyperlink w:anchor="i17039f1b25f54026b173bd8d6302d10e_25">
              <w:r>
                <w:rPr>
                  <w:rStyle w:val="InternetLink"/>
                  <w:rFonts w:ascii="Arial;sans-serif" w:hAnsi="Arial;sans-serif"/>
                  <w:b w:val="false"/>
                  <w:color w:val="000080"/>
                  <w:sz w:val="20"/>
                  <w:u w:val="single"/>
                </w:rPr>
                <w:t xml:space="preserve"> </w:t>
              </w:r>
            </w:hyperlink>
            <w:hyperlink w:anchor="i17039f1b25f54026b173bd8d6302d10e_25">
              <w:r>
                <w:rPr>
                  <w:rStyle w:val="InternetLink"/>
                  <w:rFonts w:ascii="Arial;sans-serif" w:hAnsi="Arial;sans-serif"/>
                  <w:b w:val="false"/>
                  <w:color w:val="000080"/>
                  <w:sz w:val="20"/>
                  <w:u w:val="single"/>
                </w:rPr>
                <w:t>Six</w:t>
              </w:r>
            </w:hyperlink>
            <w:hyperlink w:anchor="i17039f1b25f54026b173bd8d6302d10e_25">
              <w:r>
                <w:rPr>
                  <w:rStyle w:val="InternetLink"/>
                  <w:rFonts w:ascii="Arial;sans-serif" w:hAnsi="Arial;sans-serif"/>
                  <w:b w:val="false"/>
                  <w:color w:val="000080"/>
                  <w:sz w:val="20"/>
                  <w:u w:val="single"/>
                </w:rPr>
                <w:t xml:space="preserve"> Months Ended </w:t>
              </w:r>
            </w:hyperlink>
            <w:hyperlink w:anchor="i17039f1b25f54026b173bd8d6302d10e_25">
              <w:r>
                <w:rPr>
                  <w:rStyle w:val="InternetLink"/>
                  <w:rFonts w:ascii="Arial;sans-serif" w:hAnsi="Arial;sans-serif"/>
                  <w:b w:val="false"/>
                  <w:color w:val="000080"/>
                  <w:sz w:val="20"/>
                  <w:u w:val="single"/>
                </w:rPr>
                <w:t>June 30</w:t>
              </w:r>
            </w:hyperlink>
            <w:hyperlink w:anchor="i17039f1b25f54026b173bd8d6302d10e_25">
              <w:r>
                <w:rPr>
                  <w:rStyle w:val="InternetLink"/>
                  <w:rFonts w:ascii="Arial;sans-serif" w:hAnsi="Arial;sans-serif"/>
                  <w:b w:val="false"/>
                  <w:color w:val="000080"/>
                  <w:sz w:val="20"/>
                  <w:u w:val="single"/>
                </w:rPr>
                <w:t>, 2026 and 2025</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25">
              <w:r>
                <w:rPr>
                  <w:rStyle w:val="InternetLink"/>
                  <w:rFonts w:ascii="Arial;sans-serif" w:hAnsi="Arial;sans-serif"/>
                  <w:b w:val="false"/>
                  <w:color w:val="0000FF"/>
                  <w:sz w:val="20"/>
                  <w:u w:val="single"/>
                </w:rPr>
                <w:t>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28">
              <w:r>
                <w:rPr>
                  <w:rStyle w:val="InternetLink"/>
                  <w:rFonts w:ascii="Arial;sans-serif" w:hAnsi="Arial;sans-serif"/>
                  <w:b w:val="false"/>
                  <w:color w:val="000080"/>
                  <w:sz w:val="20"/>
                  <w:u w:val="single"/>
                </w:rPr>
                <w:t xml:space="preserve">Condensed Consolidated Statements of Cash Flows for the </w:t>
              </w:r>
            </w:hyperlink>
            <w:hyperlink w:anchor="i17039f1b25f54026b173bd8d6302d10e_28">
              <w:r>
                <w:rPr>
                  <w:rStyle w:val="InternetLink"/>
                  <w:rFonts w:ascii="Arial;sans-serif" w:hAnsi="Arial;sans-serif"/>
                  <w:b w:val="false"/>
                  <w:color w:val="000080"/>
                  <w:sz w:val="20"/>
                  <w:u w:val="single"/>
                </w:rPr>
                <w:t>Six</w:t>
              </w:r>
            </w:hyperlink>
            <w:hyperlink w:anchor="i17039f1b25f54026b173bd8d6302d10e_28">
              <w:r>
                <w:rPr>
                  <w:rStyle w:val="InternetLink"/>
                  <w:rFonts w:ascii="Arial;sans-serif" w:hAnsi="Arial;sans-serif"/>
                  <w:b w:val="false"/>
                  <w:color w:val="000080"/>
                  <w:sz w:val="20"/>
                  <w:u w:val="single"/>
                </w:rPr>
                <w:t xml:space="preserve"> Months Ended </w:t>
              </w:r>
            </w:hyperlink>
            <w:hyperlink w:anchor="i17039f1b25f54026b173bd8d6302d10e_28">
              <w:r>
                <w:rPr>
                  <w:rStyle w:val="InternetLink"/>
                  <w:rFonts w:ascii="Arial;sans-serif" w:hAnsi="Arial;sans-serif"/>
                  <w:b w:val="false"/>
                  <w:color w:val="000080"/>
                  <w:sz w:val="20"/>
                  <w:u w:val="single"/>
                </w:rPr>
                <w:t>June 30</w:t>
              </w:r>
            </w:hyperlink>
            <w:hyperlink w:anchor="i17039f1b25f54026b173bd8d6302d10e_28">
              <w:r>
                <w:rPr>
                  <w:rStyle w:val="InternetLink"/>
                  <w:rFonts w:ascii="Arial;sans-serif" w:hAnsi="Arial;sans-serif"/>
                  <w:b w:val="false"/>
                  <w:color w:val="000080"/>
                  <w:sz w:val="20"/>
                  <w:u w:val="single"/>
                </w:rPr>
                <w:t>, 2026 and 2025</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28">
              <w:r>
                <w:rPr>
                  <w:rStyle w:val="InternetLink"/>
                  <w:rFonts w:ascii="Arial;sans-serif" w:hAnsi="Arial;sans-serif"/>
                  <w:b w:val="false"/>
                  <w:color w:val="0000FF"/>
                  <w:sz w:val="20"/>
                  <w:u w:val="single"/>
                </w:rPr>
                <w:t>6</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31">
              <w:r>
                <w:rPr>
                  <w:rStyle w:val="InternetLink"/>
                  <w:rFonts w:ascii="Arial;sans-serif" w:hAnsi="Arial;sans-serif"/>
                  <w:b w:val="false"/>
                  <w:color w:val="0000FF"/>
                  <w:sz w:val="20"/>
                  <w:u w:val="single"/>
                </w:rPr>
                <w:t>Notes to the Unaudited Interim Condensed Consolidated Financial Statements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31">
              <w:r>
                <w:rPr>
                  <w:rStyle w:val="InternetLink"/>
                  <w:rFonts w:ascii="Arial;sans-serif" w:hAnsi="Arial;sans-serif"/>
                  <w:b w:val="false"/>
                  <w:color w:val="0000FF"/>
                  <w:sz w:val="20"/>
                  <w:u w:val="single"/>
                </w:rPr>
                <w:t>7</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64">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64">
              <w:r>
                <w:rPr>
                  <w:rStyle w:val="InternetLink"/>
                  <w:rFonts w:ascii="Arial;sans-serif" w:hAnsi="Arial;sans-serif"/>
                  <w:b w:val="false"/>
                  <w:color w:val="0000FF"/>
                  <w:sz w:val="20"/>
                  <w:u w:val="single"/>
                </w:rPr>
                <w:t>21</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79">
              <w:r>
                <w:rPr>
                  <w:rStyle w:val="InternetLink"/>
                  <w:rFonts w:ascii="Arial;sans-serif" w:hAnsi="Arial;sans-serif"/>
                  <w:b w:val="false"/>
                  <w:color w:val="0000FF"/>
                  <w:sz w:val="20"/>
                  <w:u w:val="single"/>
                </w:rPr>
                <w:t>Item 4. Controls and Procedures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79">
              <w:r>
                <w:rPr>
                  <w:rStyle w:val="InternetLink"/>
                  <w:rFonts w:ascii="Arial;sans-serif" w:hAnsi="Arial;sans-serif"/>
                  <w:b w:val="false"/>
                  <w:color w:val="0000FF"/>
                  <w:sz w:val="20"/>
                  <w:u w:val="single"/>
                </w:rPr>
                <w:t>32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82">
              <w:r>
                <w:rPr>
                  <w:rStyle w:val="InternetLink"/>
                  <w:rFonts w:ascii="Arial;sans-serif" w:hAnsi="Arial;sans-serif"/>
                  <w:b w:val="false"/>
                  <w:color w:val="0000FF"/>
                  <w:sz w:val="20"/>
                  <w:u w:val="single"/>
                </w:rPr>
                <w:t>PART II – OTHER INFORMATION</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82">
              <w:r>
                <w:rPr>
                  <w:rStyle w:val="InternetLink"/>
                  <w:rFonts w:ascii="Arial;sans-serif" w:hAnsi="Arial;sans-serif"/>
                  <w:b w:val="false"/>
                  <w:color w:val="0000FF"/>
                  <w:sz w:val="20"/>
                  <w:u w:val="single"/>
                </w:rPr>
                <w:t>33</w:t>
              </w:r>
            </w:hyperlink>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85">
              <w:r>
                <w:rPr>
                  <w:rStyle w:val="InternetLink"/>
                  <w:rFonts w:ascii="Arial;sans-serif" w:hAnsi="Arial;sans-serif"/>
                  <w:b w:val="false"/>
                  <w:color w:val="0000FF"/>
                  <w:sz w:val="20"/>
                  <w:u w:val="single"/>
                </w:rPr>
                <w:t>Item 2. Unregistered Sales of Equity Securities and Use of Proceeds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85">
              <w:r>
                <w:rPr>
                  <w:rStyle w:val="InternetLink"/>
                  <w:rFonts w:ascii="Arial;sans-serif" w:hAnsi="Arial;sans-serif"/>
                  <w:b w:val="false"/>
                  <w:color w:val="0000FF"/>
                  <w:sz w:val="20"/>
                  <w:u w:val="single"/>
                </w:rPr>
                <w:t>33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91">
              <w:r>
                <w:rPr>
                  <w:rStyle w:val="InternetLink"/>
                  <w:rFonts w:ascii="Arial;sans-serif" w:hAnsi="Arial;sans-serif"/>
                  <w:b w:val="false"/>
                  <w:color w:val="0000FF"/>
                  <w:sz w:val="20"/>
                  <w:u w:val="single"/>
                </w:rPr>
                <w:t>Item 5. Other Information</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91">
              <w:r>
                <w:rPr>
                  <w:rStyle w:val="InternetLink"/>
                  <w:rFonts w:ascii="Arial;sans-serif" w:hAnsi="Arial;sans-serif"/>
                  <w:b w:val="false"/>
                  <w:color w:val="0000FF"/>
                  <w:sz w:val="20"/>
                  <w:u w:val="single"/>
                </w:rPr>
                <w:t>33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94">
              <w:r>
                <w:rPr>
                  <w:rStyle w:val="InternetLink"/>
                  <w:rFonts w:ascii="Arial;sans-serif" w:hAnsi="Arial;sans-serif"/>
                  <w:b w:val="false"/>
                  <w:color w:val="0000FF"/>
                  <w:sz w:val="20"/>
                  <w:u w:val="single"/>
                </w:rPr>
                <w:t>Item 6. Exhibits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94">
              <w:r>
                <w:rPr>
                  <w:rStyle w:val="InternetLink"/>
                  <w:rFonts w:ascii="Arial;sans-serif" w:hAnsi="Arial;sans-serif"/>
                  <w:b w:val="false"/>
                  <w:color w:val="0000FF"/>
                  <w:sz w:val="20"/>
                  <w:u w:val="single"/>
                </w:rPr>
                <w:t>34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039f1b25f54026b173bd8d6302d10e_97">
              <w:r>
                <w:rPr>
                  <w:rStyle w:val="InternetLink"/>
                  <w:rFonts w:ascii="Arial;sans-serif" w:hAnsi="Arial;sans-serif"/>
                  <w:b w:val="false"/>
                  <w:color w:val="0000FF"/>
                  <w:sz w:val="20"/>
                  <w:u w:val="single"/>
                </w:rPr>
                <w:t>Signatures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039f1b25f54026b173bd8d6302d10e_97">
              <w:r>
                <w:rPr>
                  <w:rStyle w:val="InternetLink"/>
                  <w:rFonts w:ascii="Arial;sans-serif" w:hAnsi="Arial;sans-serif"/>
                  <w:b w:val="false"/>
                  <w:color w:val="0000FF"/>
                  <w:sz w:val="20"/>
                  <w:u w:val="single"/>
                </w:rPr>
                <w:t>35</w:t>
              </w:r>
            </w:hyperlink>
          </w:p>
        </w:tc>
      </w:tr>
    </w:tbl>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hanging="900"/>
        <w:jc w:val="both"/>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900"/>
        <w:jc w:val="both"/>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KIMBERLY-CLARK CORPORATION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CONDENSED CONSOLIDATED STATEMENTS OF INCOME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81"/>
        <w:gridCol w:w="1499"/>
        <w:gridCol w:w="1506"/>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6"/>
      </w:tblGrid>
      <w:tr>
        <w:trPr/>
        <w:tc>
          <w:tcPr>
            <w:tcW w:w="198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research and general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and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Before Income Taxes and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Before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of net income of equity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from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Notes to the Unaudited Interim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60350"/>
                <wp:effectExtent l="0" t="0" r="0" b="0"/>
                <wp:wrapNone/>
                <wp:docPr id="4" name="Frame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KIMBERLY-CLARK CORPORATION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85"/>
        <w:gridCol w:w="1561"/>
        <w:gridCol w:w="1571"/>
        <w:gridCol w:w="109"/>
        <w:gridCol w:w="109"/>
        <w:gridCol w:w="109"/>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55"/>
      </w:tblGrid>
      <w:tr>
        <w:trPr/>
        <w:tc>
          <w:tcPr>
            <w:tcW w:w="218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Unrealized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Employee postretirement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Comprehensive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Notes to the Unaudited Interim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0350"/>
                <wp:effectExtent l="0" t="0" r="0" b="0"/>
                <wp:wrapNone/>
                <wp:docPr id="5" name="Frame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KIMBERLY-CLARK CORPORATION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3"/>
        <w:gridCol w:w="2086"/>
        <w:gridCol w:w="2104"/>
        <w:gridCol w:w="109"/>
        <w:gridCol w:w="109"/>
        <w:gridCol w:w="109"/>
        <w:gridCol w:w="220"/>
        <w:gridCol w:w="785"/>
        <w:gridCol w:w="113"/>
        <w:gridCol w:w="109"/>
        <w:gridCol w:w="109"/>
        <w:gridCol w:w="109"/>
        <w:gridCol w:w="258"/>
        <w:gridCol w:w="919"/>
        <w:gridCol w:w="193"/>
      </w:tblGrid>
      <w:tr>
        <w:trPr/>
        <w:tc>
          <w:tcPr>
            <w:tcW w:w="2873"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0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6,354</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6,948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in Equity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18,554</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payable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6,988</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6,474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Preferred Securities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Kimberly-Clark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Preferred stock -</w:t>
            </w:r>
            <w:r>
              <w:rPr>
                <w:color w:val="000000"/>
                <w:shd w:fill="CCEEFF" w:val="clear"/>
              </w:rPr>
              <w:t xml:space="preserve"> </w:t>
            </w:r>
            <w:r>
              <w:rPr>
                <w:rFonts w:ascii="Arial;sans-serif" w:hAnsi="Arial;sans-serif"/>
                <w:b w:val="false"/>
                <w:color w:val="000000"/>
                <w:sz w:val="20"/>
              </w:rPr>
              <w:t>no</w:t>
            </w:r>
            <w:r>
              <w:rPr>
                <w:color w:val="000000"/>
                <w:shd w:fill="CCEEFF" w:val="clear"/>
              </w:rPr>
              <w:t xml:space="preserve"> </w:t>
            </w:r>
            <w:r>
              <w:rPr>
                <w:rFonts w:ascii="Arial;sans-serif" w:hAnsi="Arial;sans-serif"/>
                <w:b w:val="false"/>
                <w:color w:val="000000"/>
                <w:sz w:val="20"/>
                <w:shd w:fill="CCEEFF" w:val="clear"/>
              </w:rPr>
              <w:t>p</w:t>
            </w:r>
            <w:r>
              <w:rPr>
                <w:rFonts w:ascii="Arial;sans-serif" w:hAnsi="Arial;sans-serif"/>
                <w:b w:val="false"/>
                <w:color w:val="000000"/>
                <w:sz w:val="20"/>
              </w:rPr>
              <w:t xml:space="preserve">ar value - authorized 20.0 million shares, </w:t>
            </w:r>
            <w:r>
              <w:rPr>
                <w:rFonts w:ascii="Arial;sans-serif" w:hAnsi="Arial;sans-serif"/>
                <w:b w:val="false"/>
                <w:color w:val="000000"/>
                <w:sz w:val="20"/>
                <w:shd w:fill="CCEEFF" w:val="clear"/>
              </w:rPr>
              <w:t>none</w:t>
            </w:r>
            <w:r>
              <w:rPr>
                <w:color w:val="000000"/>
              </w:rPr>
              <w:t xml:space="preserve"> </w:t>
            </w:r>
            <w:r>
              <w:rPr>
                <w:rFonts w:ascii="Arial;sans-serif" w:hAnsi="Arial;sans-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 $1.25 par value - authorized 1,200.0 million shares; issued 378.6 million shares as of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held in treasury, at cost - 46.0 and 46.7 million shares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9,765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Kimberly-Clark Corporation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1,750</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1,874</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18,554</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17,098 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Notes to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60350"/>
                <wp:effectExtent l="0" t="0" r="0" b="0"/>
                <wp:wrapNone/>
                <wp:docPr id="6" name="Frame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KIMBERLY-CLARK CORPORATION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both"/>
        <w:rPr/>
      </w:pPr>
      <w:r>
        <w:rPr/>
      </w:r>
    </w:p>
    <w:p>
      <w:pPr>
        <w:pStyle w:val="TextBody"/>
        <w:bidi w:val="0"/>
        <w:spacing w:before="0" w:after="0"/>
        <w:jc w:val="both"/>
        <w:rPr/>
      </w:pPr>
      <w:r>
        <w:rPr/>
      </w:r>
    </w:p>
    <w:tbl>
      <w:tblPr>
        <w:tblW w:w="13930" w:type="dxa"/>
        <w:jc w:val="left"/>
        <w:tblInd w:w="0" w:type="dxa"/>
        <w:tblLayout w:type="fixed"/>
        <w:tblCellMar>
          <w:top w:w="28" w:type="dxa"/>
          <w:left w:w="28" w:type="dxa"/>
          <w:bottom w:w="28" w:type="dxa"/>
          <w:right w:w="28" w:type="dxa"/>
        </w:tblCellMar>
      </w:tblPr>
      <w:tblGrid>
        <w:gridCol w:w="758"/>
        <w:gridCol w:w="311"/>
        <w:gridCol w:w="312"/>
        <w:gridCol w:w="109"/>
        <w:gridCol w:w="109"/>
        <w:gridCol w:w="109"/>
        <w:gridCol w:w="420"/>
        <w:gridCol w:w="421"/>
        <w:gridCol w:w="216"/>
        <w:gridCol w:w="109"/>
        <w:gridCol w:w="109"/>
        <w:gridCol w:w="109"/>
        <w:gridCol w:w="211"/>
        <w:gridCol w:w="481"/>
        <w:gridCol w:w="109"/>
        <w:gridCol w:w="109"/>
        <w:gridCol w:w="109"/>
        <w:gridCol w:w="109"/>
        <w:gridCol w:w="245"/>
        <w:gridCol w:w="559"/>
        <w:gridCol w:w="127"/>
        <w:gridCol w:w="109"/>
        <w:gridCol w:w="109"/>
        <w:gridCol w:w="109"/>
        <w:gridCol w:w="368"/>
        <w:gridCol w:w="368"/>
        <w:gridCol w:w="216"/>
        <w:gridCol w:w="109"/>
        <w:gridCol w:w="109"/>
        <w:gridCol w:w="109"/>
        <w:gridCol w:w="211"/>
        <w:gridCol w:w="631"/>
        <w:gridCol w:w="109"/>
        <w:gridCol w:w="109"/>
        <w:gridCol w:w="109"/>
        <w:gridCol w:w="109"/>
        <w:gridCol w:w="211"/>
        <w:gridCol w:w="631"/>
        <w:gridCol w:w="109"/>
        <w:gridCol w:w="109"/>
        <w:gridCol w:w="109"/>
        <w:gridCol w:w="109"/>
        <w:gridCol w:w="299"/>
        <w:gridCol w:w="896"/>
        <w:gridCol w:w="156"/>
        <w:gridCol w:w="109"/>
        <w:gridCol w:w="109"/>
        <w:gridCol w:w="109"/>
        <w:gridCol w:w="359"/>
        <w:gridCol w:w="820"/>
        <w:gridCol w:w="187"/>
        <w:gridCol w:w="109"/>
        <w:gridCol w:w="109"/>
        <w:gridCol w:w="109"/>
        <w:gridCol w:w="263"/>
        <w:gridCol w:w="789"/>
        <w:gridCol w:w="194"/>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 share amounts.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6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3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378,597</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867</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46,671</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(3,412)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w:t>
            </w: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1,914</w:t>
            </w: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Net income in stockholders' equity</w:t>
            </w:r>
            <w:r>
              <w:rPr>
                <w:rFonts w:ascii="Arial;sans-serif" w:hAnsi="Arial;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352</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Other comprehensive income, net of tax</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Arial;sans-serif" w:hAnsi="Arial;sans-serif"/>
                <w:b w:val="false"/>
                <w:color w:val="000000"/>
                <w:sz w:val="18"/>
              </w:rPr>
            </w:pPr>
            <w:r>
              <w:rPr>
                <w:rFonts w:ascii="Arial;sans-serif" w:hAnsi="Arial;sans-serif"/>
                <w:b w:val="false"/>
                <w:color w:val="000000"/>
                <w:sz w:val="18"/>
              </w:rPr>
              <w:t>Dividends declared ($1.28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378,597</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788</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46,037</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9,765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(3,386)</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w:t>
            </w:r>
            <w:r>
              <w:rPr>
                <w:color w:val="000000"/>
              </w:rPr>
              <w:t>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1,874</w:t>
            </w:r>
            <w:r>
              <w:rPr>
                <w:color w:val="000000"/>
              </w:rPr>
              <w:t>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pStyle w:val="TextBody"/>
        <w:bidi w:val="0"/>
        <w:spacing w:before="60" w:after="283"/>
        <w:jc w:val="both"/>
        <w:rPr/>
      </w:pPr>
      <w:r>
        <w:rPr/>
      </w:r>
    </w:p>
    <w:p>
      <w:pPr>
        <w:pStyle w:val="TextBody"/>
        <w:bidi w:val="0"/>
        <w:spacing w:before="60" w:after="283"/>
        <w:ind w:left="0" w:right="0" w:hanging="360"/>
        <w:jc w:val="both"/>
        <w:rPr/>
      </w:pPr>
      <w:r>
        <w:rPr/>
      </w:r>
    </w:p>
    <w:tbl>
      <w:tblPr>
        <w:tblW w:w="13930" w:type="dxa"/>
        <w:jc w:val="left"/>
        <w:tblInd w:w="0" w:type="dxa"/>
        <w:tblLayout w:type="fixed"/>
        <w:tblCellMar>
          <w:top w:w="28" w:type="dxa"/>
          <w:left w:w="28" w:type="dxa"/>
          <w:bottom w:w="28" w:type="dxa"/>
          <w:right w:w="28" w:type="dxa"/>
        </w:tblCellMar>
      </w:tblPr>
      <w:tblGrid>
        <w:gridCol w:w="758"/>
        <w:gridCol w:w="311"/>
        <w:gridCol w:w="312"/>
        <w:gridCol w:w="109"/>
        <w:gridCol w:w="109"/>
        <w:gridCol w:w="109"/>
        <w:gridCol w:w="420"/>
        <w:gridCol w:w="421"/>
        <w:gridCol w:w="216"/>
        <w:gridCol w:w="109"/>
        <w:gridCol w:w="109"/>
        <w:gridCol w:w="109"/>
        <w:gridCol w:w="211"/>
        <w:gridCol w:w="481"/>
        <w:gridCol w:w="109"/>
        <w:gridCol w:w="109"/>
        <w:gridCol w:w="109"/>
        <w:gridCol w:w="109"/>
        <w:gridCol w:w="245"/>
        <w:gridCol w:w="559"/>
        <w:gridCol w:w="127"/>
        <w:gridCol w:w="109"/>
        <w:gridCol w:w="109"/>
        <w:gridCol w:w="109"/>
        <w:gridCol w:w="368"/>
        <w:gridCol w:w="368"/>
        <w:gridCol w:w="216"/>
        <w:gridCol w:w="109"/>
        <w:gridCol w:w="109"/>
        <w:gridCol w:w="109"/>
        <w:gridCol w:w="211"/>
        <w:gridCol w:w="631"/>
        <w:gridCol w:w="109"/>
        <w:gridCol w:w="109"/>
        <w:gridCol w:w="109"/>
        <w:gridCol w:w="109"/>
        <w:gridCol w:w="211"/>
        <w:gridCol w:w="631"/>
        <w:gridCol w:w="109"/>
        <w:gridCol w:w="109"/>
        <w:gridCol w:w="109"/>
        <w:gridCol w:w="109"/>
        <w:gridCol w:w="299"/>
        <w:gridCol w:w="896"/>
        <w:gridCol w:w="156"/>
        <w:gridCol w:w="109"/>
        <w:gridCol w:w="109"/>
        <w:gridCol w:w="109"/>
        <w:gridCol w:w="359"/>
        <w:gridCol w:w="820"/>
        <w:gridCol w:w="187"/>
        <w:gridCol w:w="109"/>
        <w:gridCol w:w="109"/>
        <w:gridCol w:w="109"/>
        <w:gridCol w:w="263"/>
        <w:gridCol w:w="789"/>
        <w:gridCol w:w="194"/>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 share amounts.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3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378,597</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849</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46,699</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(3,444)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w:t>
            </w: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1,630</w:t>
            </w: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Net income in stockholders' equity</w:t>
            </w:r>
            <w:r>
              <w:rPr>
                <w:rFonts w:ascii="Arial;sans-serif" w:hAnsi="Arial;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1,026</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Other comprehensive income, net of tax</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Arial;sans-serif" w:hAnsi="Arial;sans-serif"/>
                <w:b w:val="false"/>
                <w:color w:val="000000"/>
                <w:sz w:val="18"/>
              </w:rPr>
            </w:pPr>
            <w:r>
              <w:rPr>
                <w:rFonts w:ascii="Arial;sans-serif" w:hAnsi="Arial;sans-serif"/>
                <w:b w:val="false"/>
                <w:color w:val="000000"/>
                <w:sz w:val="18"/>
              </w:rPr>
              <w:t>Dividends declared ($2.56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(865)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378,597</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788</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46,037</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9,765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(3,386)</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w:t>
            </w:r>
            <w:r>
              <w:rPr>
                <w:color w:val="000000"/>
              </w:rPr>
              <w:t>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1,874</w:t>
            </w:r>
            <w:r>
              <w:rPr>
                <w:color w:val="000000"/>
              </w:rPr>
              <w:t>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Arial;sans-serif" w:hAnsi="Arial;sans-serif"/>
          <w:b w:val="false"/>
          <w:color w:val="000000"/>
          <w:sz w:val="16"/>
        </w:rPr>
        <w:t>(a)</w:t>
      </w:r>
      <w:r>
        <w:rPr>
          <w:color w:val="000000"/>
        </w:rPr>
        <w:t>    </w:t>
      </w:r>
      <w:r>
        <w:rPr>
          <w:rFonts w:ascii="Arial;sans-serif" w:hAnsi="Arial;sans-serif"/>
          <w:b w:val="false"/>
          <w:color w:val="000000"/>
          <w:sz w:val="16"/>
        </w:rPr>
        <w:t>Excludes redeemable interests' share.</w:t>
      </w:r>
    </w:p>
    <w:p>
      <w:pPr>
        <w:pStyle w:val="TextBody"/>
        <w:bidi w:val="0"/>
        <w:spacing w:before="60" w:after="283"/>
        <w:ind w:left="0" w:right="0" w:hanging="360"/>
        <w:jc w:val="both"/>
        <w:rPr/>
      </w:pPr>
      <w:r>
        <w:rPr/>
      </w:r>
    </w:p>
    <w:p>
      <w:pPr>
        <w:pStyle w:val="TextBody"/>
        <w:bidi w:val="0"/>
        <w:spacing w:before="60" w:after="283"/>
        <w:ind w:left="0" w:right="0" w:hanging="360"/>
        <w:jc w:val="center"/>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60350"/>
                <wp:effectExtent l="0" t="0" r="0" b="0"/>
                <wp:wrapNone/>
                <wp:docPr id="7" name="Frame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KIMBERLY-CLARK CORPORATION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both"/>
        <w:rPr/>
      </w:pPr>
      <w:r>
        <w:rPr/>
      </w:r>
    </w:p>
    <w:tbl>
      <w:tblPr>
        <w:tblW w:w="13870" w:type="dxa"/>
        <w:jc w:val="left"/>
        <w:tblInd w:w="0" w:type="dxa"/>
        <w:tblLayout w:type="fixed"/>
        <w:tblCellMar>
          <w:top w:w="28" w:type="dxa"/>
          <w:left w:w="28" w:type="dxa"/>
          <w:bottom w:w="28" w:type="dxa"/>
          <w:right w:w="28" w:type="dxa"/>
        </w:tblCellMar>
      </w:tblPr>
      <w:tblGrid>
        <w:gridCol w:w="758"/>
        <w:gridCol w:w="311"/>
        <w:gridCol w:w="312"/>
        <w:gridCol w:w="109"/>
        <w:gridCol w:w="109"/>
        <w:gridCol w:w="109"/>
        <w:gridCol w:w="413"/>
        <w:gridCol w:w="413"/>
        <w:gridCol w:w="216"/>
        <w:gridCol w:w="109"/>
        <w:gridCol w:w="109"/>
        <w:gridCol w:w="109"/>
        <w:gridCol w:w="211"/>
        <w:gridCol w:w="466"/>
        <w:gridCol w:w="109"/>
        <w:gridCol w:w="109"/>
        <w:gridCol w:w="109"/>
        <w:gridCol w:w="109"/>
        <w:gridCol w:w="249"/>
        <w:gridCol w:w="551"/>
        <w:gridCol w:w="131"/>
        <w:gridCol w:w="109"/>
        <w:gridCol w:w="109"/>
        <w:gridCol w:w="109"/>
        <w:gridCol w:w="360"/>
        <w:gridCol w:w="361"/>
        <w:gridCol w:w="216"/>
        <w:gridCol w:w="109"/>
        <w:gridCol w:w="109"/>
        <w:gridCol w:w="109"/>
        <w:gridCol w:w="211"/>
        <w:gridCol w:w="631"/>
        <w:gridCol w:w="109"/>
        <w:gridCol w:w="109"/>
        <w:gridCol w:w="109"/>
        <w:gridCol w:w="109"/>
        <w:gridCol w:w="211"/>
        <w:gridCol w:w="616"/>
        <w:gridCol w:w="109"/>
        <w:gridCol w:w="109"/>
        <w:gridCol w:w="109"/>
        <w:gridCol w:w="109"/>
        <w:gridCol w:w="299"/>
        <w:gridCol w:w="896"/>
        <w:gridCol w:w="156"/>
        <w:gridCol w:w="109"/>
        <w:gridCol w:w="109"/>
        <w:gridCol w:w="109"/>
        <w:gridCol w:w="366"/>
        <w:gridCol w:w="809"/>
        <w:gridCol w:w="191"/>
        <w:gridCol w:w="109"/>
        <w:gridCol w:w="109"/>
        <w:gridCol w:w="109"/>
        <w:gridCol w:w="267"/>
        <w:gridCol w:w="782"/>
        <w:gridCol w:w="197"/>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 share amounts.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6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3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378,597 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46,730 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Net income in stockholders' equity</w:t>
            </w:r>
            <w:r>
              <w:rPr>
                <w:rFonts w:ascii="Arial;sans-serif" w:hAnsi="Arial;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Other comprehensive income, net of tax</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Arial;sans-serif" w:hAnsi="Arial;sans-serif"/>
                <w:b w:val="false"/>
                <w:color w:val="000000"/>
                <w:sz w:val="18"/>
              </w:rPr>
            </w:pPr>
            <w:r>
              <w:rPr>
                <w:rFonts w:ascii="Arial;sans-serif" w:hAnsi="Arial;sans-serif"/>
                <w:b w:val="false"/>
                <w:color w:val="000000"/>
                <w:sz w:val="18"/>
              </w:rPr>
              <w:t>Dividends declared ($1.26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378,597 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46,682 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(3,508)</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3870" w:type="dxa"/>
        <w:jc w:val="left"/>
        <w:tblInd w:w="0" w:type="dxa"/>
        <w:tblLayout w:type="fixed"/>
        <w:tblCellMar>
          <w:top w:w="28" w:type="dxa"/>
          <w:left w:w="28" w:type="dxa"/>
          <w:bottom w:w="28" w:type="dxa"/>
          <w:right w:w="28" w:type="dxa"/>
        </w:tblCellMar>
      </w:tblPr>
      <w:tblGrid>
        <w:gridCol w:w="758"/>
        <w:gridCol w:w="311"/>
        <w:gridCol w:w="312"/>
        <w:gridCol w:w="109"/>
        <w:gridCol w:w="109"/>
        <w:gridCol w:w="109"/>
        <w:gridCol w:w="413"/>
        <w:gridCol w:w="413"/>
        <w:gridCol w:w="216"/>
        <w:gridCol w:w="109"/>
        <w:gridCol w:w="109"/>
        <w:gridCol w:w="109"/>
        <w:gridCol w:w="211"/>
        <w:gridCol w:w="466"/>
        <w:gridCol w:w="109"/>
        <w:gridCol w:w="109"/>
        <w:gridCol w:w="109"/>
        <w:gridCol w:w="109"/>
        <w:gridCol w:w="249"/>
        <w:gridCol w:w="551"/>
        <w:gridCol w:w="131"/>
        <w:gridCol w:w="109"/>
        <w:gridCol w:w="109"/>
        <w:gridCol w:w="109"/>
        <w:gridCol w:w="360"/>
        <w:gridCol w:w="361"/>
        <w:gridCol w:w="216"/>
        <w:gridCol w:w="109"/>
        <w:gridCol w:w="109"/>
        <w:gridCol w:w="109"/>
        <w:gridCol w:w="211"/>
        <w:gridCol w:w="631"/>
        <w:gridCol w:w="109"/>
        <w:gridCol w:w="109"/>
        <w:gridCol w:w="109"/>
        <w:gridCol w:w="109"/>
        <w:gridCol w:w="211"/>
        <w:gridCol w:w="616"/>
        <w:gridCol w:w="109"/>
        <w:gridCol w:w="109"/>
        <w:gridCol w:w="109"/>
        <w:gridCol w:w="109"/>
        <w:gridCol w:w="299"/>
        <w:gridCol w:w="896"/>
        <w:gridCol w:w="156"/>
        <w:gridCol w:w="109"/>
        <w:gridCol w:w="109"/>
        <w:gridCol w:w="109"/>
        <w:gridCol w:w="366"/>
        <w:gridCol w:w="809"/>
        <w:gridCol w:w="191"/>
        <w:gridCol w:w="109"/>
        <w:gridCol w:w="109"/>
        <w:gridCol w:w="109"/>
        <w:gridCol w:w="267"/>
        <w:gridCol w:w="782"/>
        <w:gridCol w:w="197"/>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 share amounts.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6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3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378,597 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46,798 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Net income in stockholders' equity</w:t>
            </w:r>
            <w:r>
              <w:rPr>
                <w:rFonts w:ascii="Arial;sans-serif" w:hAnsi="Arial;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Other comprehensive income, net of tax</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Arial;sans-serif" w:hAnsi="Arial;sans-serif"/>
                <w:b w:val="false"/>
                <w:color w:val="000000"/>
                <w:sz w:val="18"/>
              </w:rPr>
            </w:pPr>
            <w:r>
              <w:rPr>
                <w:rFonts w:ascii="Arial;sans-serif" w:hAnsi="Arial;sans-serif"/>
                <w:b w:val="false"/>
                <w:color w:val="000000"/>
                <w:sz w:val="18"/>
              </w:rPr>
              <w:t>Dividends declared ($2.52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378,597 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46,682 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(3,508)</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Excludes redeemable interests' share.</w:t>
      </w:r>
    </w:p>
    <w:p>
      <w:pPr>
        <w:pStyle w:val="TextBody"/>
        <w:bidi w:val="0"/>
        <w:spacing w:lineRule="auto" w:line="288" w:before="180" w:after="283"/>
        <w:ind w:left="0" w:right="0" w:hanging="360"/>
        <w:jc w:val="center"/>
        <w:rPr>
          <w:rFonts w:ascii="Arial;sans-serif" w:hAnsi="Arial;sans-serif"/>
          <w:b w:val="false"/>
          <w:color w:val="000000"/>
          <w:sz w:val="20"/>
        </w:rPr>
      </w:pPr>
      <w:r>
        <w:rPr>
          <w:rFonts w:ascii="Arial;sans-serif" w:hAnsi="Arial;sans-serif"/>
          <w:b w:val="false"/>
          <w:color w:val="000000"/>
          <w:sz w:val="20"/>
        </w:rPr>
        <w:t>See Notes to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60350"/>
                <wp:effectExtent l="0" t="0" r="0" b="0"/>
                <wp:wrapNone/>
                <wp:docPr id="8" name="Frame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KIMBERLY-CLARK CORPORATION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tbl>
      <w:tblPr>
        <w:tblW w:w="9760" w:type="dxa"/>
        <w:jc w:val="left"/>
        <w:tblInd w:w="0" w:type="dxa"/>
        <w:tblLayout w:type="fixed"/>
        <w:tblCellMar>
          <w:top w:w="28" w:type="dxa"/>
          <w:left w:w="28" w:type="dxa"/>
          <w:bottom w:w="28" w:type="dxa"/>
          <w:right w:w="28" w:type="dxa"/>
        </w:tblCellMar>
      </w:tblPr>
      <w:tblGrid>
        <w:gridCol w:w="2546"/>
        <w:gridCol w:w="2236"/>
        <w:gridCol w:w="2238"/>
        <w:gridCol w:w="109"/>
        <w:gridCol w:w="109"/>
        <w:gridCol w:w="109"/>
        <w:gridCol w:w="211"/>
        <w:gridCol w:w="646"/>
        <w:gridCol w:w="109"/>
        <w:gridCol w:w="109"/>
        <w:gridCol w:w="109"/>
        <w:gridCol w:w="109"/>
        <w:gridCol w:w="211"/>
        <w:gridCol w:w="646"/>
        <w:gridCol w:w="109"/>
        <w:gridCol w:w="154"/>
      </w:tblGrid>
      <w:tr>
        <w:trPr/>
        <w:tc>
          <w:tcPr>
            <w:tcW w:w="25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on asset and business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companies' earnings (in excess of) less than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Provided by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spending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and business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Maturities of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Used for Investing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Used for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from continuing operations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 from discontinued operations - beginning of period</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from continuing operations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 from discontinued operations - end of period</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000000"/>
          <w:sz w:val="16"/>
        </w:rPr>
        <w:t>(a)</w:t>
      </w:r>
      <w:r>
        <w:rPr>
          <w:color w:val="000000"/>
        </w:rPr>
        <w:t>    </w:t>
      </w:r>
      <w:r>
        <w:rPr>
          <w:rFonts w:ascii="Arial;sans-serif" w:hAnsi="Arial;sans-serif"/>
          <w:b w:val="false"/>
          <w:color w:val="000000"/>
          <w:sz w:val="16"/>
        </w:rPr>
        <w:t>Included in Current assets of discontinued operations.</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Notes to the Unaudited Interim Condensed Consolidated Financial Statements.</w:t>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0350"/>
                <wp:effectExtent l="0" t="0" r="0" b="0"/>
                <wp:wrapNone/>
                <wp:docPr id="9" name="Frame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80" w:after="283"/>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KIMBERLY-CLARK CORPORATION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NOTES TO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1.    Accounting Policies</w:t>
      </w:r>
    </w:p>
    <w:p>
      <w:pPr>
        <w:pStyle w:val="TextBody"/>
        <w:bidi w:val="0"/>
        <w:spacing w:lineRule="auto" w:line="288" w:before="60" w:after="283"/>
        <w:jc w:val="left"/>
        <w:rPr>
          <w:rFonts w:ascii="Arial;sans-serif" w:hAnsi="Arial;sans-serif"/>
          <w:b w:val="false"/>
          <w:color w:val="000000"/>
          <w:sz w:val="20"/>
          <w:u w:val="single"/>
        </w:rPr>
      </w:pPr>
      <w:r>
        <w:rPr>
          <w:rFonts w:ascii="Arial;sans-serif" w:hAnsi="Arial;sans-serif"/>
          <w:b w:val="false"/>
          <w:color w:val="000000"/>
          <w:sz w:val="20"/>
          <w:u w:val="single"/>
        </w:rPr>
        <w:t>Basis of Presentation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accompanying Unaudited Interim Condensed Consolidated Financial Statements have been prepared in accordance with accounting principles generally accepted in the United States of America ("GAAP") for interim financial information and instructions to Form 10-Q and Article 10 of Regulation S-X. Accordingly, they do not include all of the information and footnotes required by GAAP for complete financial statements. In the opinion of management, all material adjustments which are of a normal and recurring nature necessary for a fair statement of the results for the periods presented have been reflected. Amounts are reported in millions of dollars, except per share amounts, unless otherwise noted.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For further information, refer to the consolidated financial statements and footnotes included in our Annual Report on Form 10-K for the year ended December 31, 2025. The terms "Corporation," "Company," "Kimberly-Clark," "K-C," "we," "our" and "us" refer to Kimberly-Clark Corporation and its consolidated subsidiaries. </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International Family Care and Professional ("IFP") Transaction</w:t>
      </w:r>
    </w:p>
    <w:p>
      <w:pPr>
        <w:pStyle w:val="TextBody"/>
        <w:bidi w:val="0"/>
        <w:spacing w:lineRule="auto" w:line="288" w:before="60" w:after="283"/>
        <w:jc w:val="both"/>
        <w:rPr/>
      </w:pPr>
      <w:r>
        <w:rPr>
          <w:rFonts w:ascii="Arial;sans-serif" w:hAnsi="Arial;sans-serif"/>
          <w:b w:val="false"/>
          <w:color w:val="000000"/>
          <w:sz w:val="20"/>
        </w:rPr>
        <w:t xml:space="preserve">On June 5, 2025, we announced that the Company will form a joint venture with Suzano S.A. ("Suzano") and Suzano International Holding B.V., a wholly-owned subsidiary of Suzano ("Buyer"), comprised of substantially all the operations of the Company's former International Family Care and Professional ("IFP") segment (the "IFP Business"). To facilitate this transaction, we entered into an Equity and Asset Purchase Agreement (the "Purchase Agreement") with Buyer, pursuant to which we will, among other things, effectuate a reorganization through the transfer of certain assets, liabilities and equity interests of the IFP Business to Kimberly-Clark IFP NewCo B.V., an indirect wholly-owned subsidiary of the Company (the "Joint Venture"). At the time of closing, Buyer will acquire a 51% interest in the Joint Venture for a purchase price of approximately </w:t>
      </w:r>
      <w:r>
        <w:rPr>
          <w:rFonts w:ascii="Arial;sans-serif" w:hAnsi="Arial;sans-serif"/>
          <w:b w:val="false"/>
          <w:color w:val="000000"/>
          <w:sz w:val="20"/>
          <w:shd w:fill="FFFFFF" w:val="clear"/>
        </w:rPr>
        <w:t>$1.7</w:t>
      </w:r>
      <w:r>
        <w:rPr>
          <w:color w:val="000000"/>
        </w:rPr>
        <w:t xml:space="preserve"> </w:t>
      </w:r>
      <w:r>
        <w:rPr>
          <w:rFonts w:ascii="Arial;sans-serif" w:hAnsi="Arial;sans-serif"/>
          <w:b w:val="false"/>
          <w:color w:val="000000"/>
          <w:sz w:val="20"/>
        </w:rPr>
        <w:t>billion, subject to certain closing adjustments set forth in the Purchase Agreement, and we will retain a 49% equity interest (the "IFP Transaction"). On July 1, 2026, subsequent to the quarter ended June 30, 2026, all consultation requirements and customary closing conditions set forth in the Purchase Agreement were satisfied and the IFP Transaction was completed. See Note 11 for further details.</w:t>
      </w:r>
    </w:p>
    <w:p>
      <w:pPr>
        <w:pStyle w:val="TextBody"/>
        <w:bidi w:val="0"/>
        <w:spacing w:lineRule="auto" w:line="288" w:before="180" w:after="283"/>
        <w:jc w:val="both"/>
        <w:rPr/>
      </w:pPr>
      <w:r>
        <w:rPr>
          <w:rFonts w:ascii="Arial;sans-serif" w:hAnsi="Arial;sans-serif"/>
          <w:b w:val="false"/>
          <w:color w:val="000000"/>
          <w:sz w:val="20"/>
        </w:rPr>
        <w:t xml:space="preserve">In accordance with ASC 205, </w:t>
      </w:r>
      <w:r>
        <w:rPr>
          <w:rFonts w:ascii="Arial;sans-serif" w:hAnsi="Arial;sans-serif"/>
          <w:b w:val="false"/>
          <w:i/>
          <w:color w:val="000000"/>
          <w:sz w:val="20"/>
        </w:rPr>
        <w:t>Presentation of Financial Statements</w:t>
      </w:r>
      <w:r>
        <w:rPr>
          <w:rFonts w:ascii="Arial;sans-serif" w:hAnsi="Arial;sans-serif"/>
          <w:b w:val="false"/>
          <w:color w:val="000000"/>
          <w:sz w:val="20"/>
        </w:rPr>
        <w:t>, we determined the IFP Transaction represents a strategic shift that will have a major effect on our operations and financial results. Accordingly, the results of the IFP Business are reported as discontinued operations in the accompanying Condensed Consolidated Statements of Income and have been excluded from both continuing operations and segment results for all periods presented. Further, the assets and liabilities of the IFP Business are classified as discontinued operations in the accompanying Condensed Consolidated Balance Sheets for all periods presented, and the Company has ceased depreciating and amortizing the long-lived assets of the IFP Business. The Condensed Consolidated Statements of Comprehensive Income, Stockholders' Equity and Cash Flows are presented on a consolidated basis for both continuing operations and discontinued operations. Unless otherwise noted, amounts and disclosures in the Notes to the Unaudited Interim Condensed Consolidated Financial Statements reflect only Kimberly-Clark's continuing operations. See Note 3 for additional details.</w:t>
      </w:r>
    </w:p>
    <w:p>
      <w:pPr>
        <w:pStyle w:val="TextBody"/>
        <w:bidi w:val="0"/>
        <w:spacing w:lineRule="auto" w:line="288" w:before="180" w:after="60"/>
        <w:jc w:val="left"/>
        <w:rPr>
          <w:rFonts w:ascii="Arial;sans-serif" w:hAnsi="Arial;sans-serif"/>
          <w:b w:val="false"/>
          <w:color w:val="000000"/>
          <w:sz w:val="20"/>
          <w:u w:val="single"/>
        </w:rPr>
      </w:pPr>
      <w:r>
        <w:rPr>
          <w:rFonts w:ascii="Arial;sans-serif" w:hAnsi="Arial;sans-serif"/>
          <w:b w:val="false"/>
          <w:color w:val="000000"/>
          <w:sz w:val="20"/>
          <w:u w:val="single"/>
        </w:rPr>
        <w:t>Highly Inflationary Accounting</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GAAP requires the use of highly inflationary accounting for countries whose cumulative three-year inflation exceeds 100%. Under highly inflationary accounting, the countries’ functional currency becomes the U.S. dollar, and its income statement and balance sheet are measured in U.S. dollars using both current and historical rates of exchange.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July 1, 2018, we adopted highly inflationary accounting for our subsidiaries in Argentina (“K-C Argentina”). The effect of changes in exchange rates on peso-denominated monetary assets and liabilities has been reflected in earnings in Other (income) and expense, net. As of June 30, 2026, K-C Argentina had an immaterial net peso monetary position. Net sales of K-C Argentina were approximately 1% of our net sales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0350"/>
                <wp:effectExtent l="0" t="0" r="0" b="0"/>
                <wp:wrapNone/>
                <wp:docPr id="10" name="Frame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April 1, 2022, we adopted highly inflationary accounting for our subsidiary in Türkiye (“K-C Türkiye”). The effect of changes in exchange rates on lira-denominated monetary assets and liabilities has been reflected in earnings in Other (income) and expense, net. As of June 30, 2026, K-C Türkiye had an immaterial net lira monetary position. Net sales of K-C Türkiye were less than 1% of our net sales for the three and six months ended June 30, 2026 and 2025.</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Recently Issued Accounting Standards</w:t>
      </w:r>
    </w:p>
    <w:p>
      <w:pPr>
        <w:pStyle w:val="TextBody"/>
        <w:bidi w:val="0"/>
        <w:spacing w:lineRule="auto" w:line="288" w:before="60" w:after="283"/>
        <w:jc w:val="both"/>
        <w:rPr/>
      </w:pPr>
      <w:r>
        <w:rPr>
          <w:rFonts w:ascii="Arial;sans-serif" w:hAnsi="Arial;sans-serif"/>
          <w:b w:val="false"/>
          <w:color w:val="000000"/>
          <w:sz w:val="20"/>
        </w:rPr>
        <w:t xml:space="preserve">In November 2024, the FASB issued ASU No. 2024-03, </w:t>
      </w:r>
      <w:r>
        <w:rPr>
          <w:rFonts w:ascii="Arial;sans-serif" w:hAnsi="Arial;sans-serif"/>
          <w:b w:val="false"/>
          <w:i/>
          <w:color w:val="000000"/>
          <w:sz w:val="20"/>
        </w:rPr>
        <w:t>Income Statement - Reporting Comprehensive Income - Expense Disaggregation Disclosures (Topic 220)</w:t>
      </w:r>
      <w:r>
        <w:rPr>
          <w:rFonts w:ascii="Arial;sans-serif" w:hAnsi="Arial;sans-serif"/>
          <w:b w:val="false"/>
          <w:color w:val="000000"/>
          <w:sz w:val="20"/>
        </w:rPr>
        <w:t>. The new guidance requires disclosure in the notes to the financial statements of disaggregated information about specific expense categories underlying certain income statement expense line items. The amendments in this ASU are effective for fiscal years beginning after December 15, 2026, and interim periods within fiscal years beginning after December 15, 2027, with early adoption permitted. The amendments should be applied on a prospective basis with retrospective application permitted. We are currently evaluating the impact of this update on our Consolidated Financial Statements and related disclosures.</w:t>
      </w:r>
    </w:p>
    <w:p>
      <w:pPr>
        <w:pStyle w:val="TextBody"/>
        <w:bidi w:val="0"/>
        <w:spacing w:lineRule="auto" w:line="288" w:before="180" w:after="283"/>
        <w:jc w:val="both"/>
        <w:rPr/>
      </w:pPr>
      <w:r>
        <w:rPr>
          <w:rFonts w:ascii="Arial;sans-serif" w:hAnsi="Arial;sans-serif"/>
          <w:b w:val="false"/>
          <w:color w:val="000000"/>
          <w:sz w:val="20"/>
        </w:rPr>
        <w:t xml:space="preserve">In September 2025, the FASB issued ASU No. 2025-06, </w:t>
      </w:r>
      <w:r>
        <w:rPr>
          <w:rFonts w:ascii="Arial;sans-serif" w:hAnsi="Arial;sans-serif"/>
          <w:b w:val="false"/>
          <w:i/>
          <w:color w:val="000000"/>
          <w:sz w:val="20"/>
        </w:rPr>
        <w:t xml:space="preserve">Intangibles - Goodwill and Other - Internal-Use Software (Topic 350) </w:t>
      </w:r>
      <w:r>
        <w:rPr>
          <w:rFonts w:ascii="Arial;sans-serif" w:hAnsi="Arial;sans-serif"/>
          <w:b w:val="false"/>
          <w:color w:val="000000"/>
          <w:sz w:val="20"/>
        </w:rPr>
        <w:t>to modernize the accounting guidance for internal-use software costs.</w:t>
      </w:r>
      <w:r>
        <w:rPr>
          <w:color w:val="000000"/>
        </w:rPr>
        <w:t xml:space="preserve"> </w:t>
      </w:r>
      <w:r>
        <w:rPr>
          <w:rFonts w:ascii="Arial;sans-serif" w:hAnsi="Arial;sans-serif"/>
          <w:b w:val="false"/>
          <w:color w:val="000000"/>
          <w:sz w:val="20"/>
        </w:rPr>
        <w:t>The new guidance eliminates software development stages and clarifies when to begin capitalizing eligible software costs. The amendments in this ASU are effective for fiscal years beginning after December 15, 2027, and interim periods within those fiscal years, with early adoption permitted. The amendments can be applied on a prospective basis, a modified basis for in-process projects or a retrospective basis. We are currently evaluating the impact of this update on our Consolidated Financial Statements and related disclosures.</w:t>
      </w:r>
    </w:p>
    <w:p>
      <w:pPr>
        <w:pStyle w:val="TextBody"/>
        <w:bidi w:val="0"/>
        <w:spacing w:lineRule="auto" w:line="288" w:before="180" w:after="283"/>
        <w:jc w:val="both"/>
        <w:rPr/>
      </w:pPr>
      <w:r>
        <w:rPr>
          <w:rFonts w:ascii="Arial;sans-serif" w:hAnsi="Arial;sans-serif"/>
          <w:b w:val="false"/>
          <w:color w:val="000000"/>
          <w:sz w:val="20"/>
        </w:rPr>
        <w:t xml:space="preserve">In December 2025, the FASB issued ASU No. 2025-10, </w:t>
      </w:r>
      <w:r>
        <w:rPr>
          <w:rFonts w:ascii="Arial;sans-serif" w:hAnsi="Arial;sans-serif"/>
          <w:b w:val="false"/>
          <w:i/>
          <w:color w:val="000000"/>
          <w:sz w:val="20"/>
        </w:rPr>
        <w:t xml:space="preserve">Government Grants (Topic 832) </w:t>
      </w:r>
      <w:r>
        <w:rPr>
          <w:rFonts w:ascii="Arial;sans-serif" w:hAnsi="Arial;sans-serif"/>
          <w:b w:val="false"/>
          <w:color w:val="000000"/>
          <w:sz w:val="20"/>
        </w:rPr>
        <w:t>to establish guidance on the recognition, measurement and presentation of government grants received by business entities</w:t>
      </w:r>
      <w:r>
        <w:rPr>
          <w:rFonts w:ascii="Arial;sans-serif" w:hAnsi="Arial;sans-serif"/>
          <w:b w:val="false"/>
          <w:i/>
          <w:color w:val="000000"/>
          <w:sz w:val="20"/>
        </w:rPr>
        <w:t xml:space="preserve">. </w:t>
      </w:r>
      <w:r>
        <w:rPr>
          <w:rFonts w:ascii="Arial;sans-serif" w:hAnsi="Arial;sans-serif"/>
          <w:b w:val="false"/>
          <w:color w:val="000000"/>
          <w:sz w:val="20"/>
        </w:rPr>
        <w:t>The amendments in this ASU are effective for fiscal years beginning after December 15, 2028, and interim periods within those fiscal years, with early adoption permitted. The amendments can be applied on a modified prospective basis, a modified retrospective basis or a retrospective basis. We are currently evaluating the impact of this update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2.     2024 Transformation Initiative</w:t>
      </w:r>
    </w:p>
    <w:p>
      <w:pPr>
        <w:pStyle w:val="TextBody"/>
        <w:bidi w:val="0"/>
        <w:spacing w:lineRule="auto" w:line="288" w:before="60" w:after="283"/>
        <w:jc w:val="both"/>
        <w:rPr/>
      </w:pPr>
      <w:r>
        <w:rPr>
          <w:rFonts w:ascii="Arial;sans-serif" w:hAnsi="Arial;sans-serif"/>
          <w:b w:val="false"/>
          <w:color w:val="000000"/>
          <w:sz w:val="20"/>
        </w:rPr>
        <w:t>On March 27, 2024, we announced the 2024 Transformation Initiative intended to improve our focus on growth and reduce our structural cost base by realigning our internal operating and management structure to streamline our global supply chain and improve the efficiency of our corporate and regional overhead cost structures. The transformation is expected to impact our organization in all major geographies, and workforce reductions are expected to be in the range of 4%</w:t>
      </w:r>
      <w:r>
        <w:rPr>
          <w:color w:val="EE2724"/>
        </w:rPr>
        <w:t xml:space="preserve"> </w:t>
      </w:r>
      <w:r>
        <w:rPr>
          <w:rFonts w:ascii="Arial;sans-serif" w:hAnsi="Arial;sans-serif"/>
          <w:b w:val="false"/>
          <w:color w:val="000000"/>
          <w:sz w:val="20"/>
        </w:rPr>
        <w:t>to 5%.</w:t>
      </w:r>
      <w:r>
        <w:rPr>
          <w:color w:val="EE2724"/>
        </w:rPr>
        <w:t xml:space="preserve"> </w:t>
      </w:r>
      <w:r>
        <w:rPr>
          <w:rFonts w:ascii="Arial;sans-serif" w:hAnsi="Arial;sans-serif"/>
          <w:b w:val="false"/>
          <w:color w:val="000000"/>
          <w:sz w:val="20"/>
        </w:rPr>
        <w:t xml:space="preserve">Certain actions under the 2024 Transformation Initiative are being finalized for implementation, and accounting for such actions will commence when the actions are authorized for execution.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During the second quarter of 2026, our Board of Directors approved an extension of the 2024 Transformation Initiative through the end of 2028. Total pre-tax costs are anticipated to be approximately $1.5 billion, with cash costs expected to be approximately 60% of that amount, primarily related to workforce reductions and other program costs. Expected non-cash charges are primarily related to incremental depreciation and asset write-offs, including losses associated with the expected exit of certain markets. Through June 30, 2026, cumulative pre-tax charges for the 2024 Transformation Initiative were $913 ($706 after-tax).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0350"/>
                <wp:effectExtent l="0" t="0" r="0" b="0"/>
                <wp:wrapNone/>
                <wp:docPr id="11" name="Frame1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charges were incurred in connection with the 2024 Transformation Initiative:</w:t>
      </w:r>
    </w:p>
    <w:tbl>
      <w:tblPr>
        <w:tblW w:w="9476" w:type="dxa"/>
        <w:jc w:val="left"/>
        <w:tblInd w:w="0" w:type="dxa"/>
        <w:tblLayout w:type="fixed"/>
        <w:tblCellMar>
          <w:top w:w="28" w:type="dxa"/>
          <w:left w:w="28" w:type="dxa"/>
          <w:bottom w:w="28" w:type="dxa"/>
          <w:right w:w="28" w:type="dxa"/>
        </w:tblCellMar>
      </w:tblPr>
      <w:tblGrid>
        <w:gridCol w:w="1873"/>
        <w:gridCol w:w="1645"/>
        <w:gridCol w:w="1656"/>
        <w:gridCol w:w="109"/>
        <w:gridCol w:w="109"/>
        <w:gridCol w:w="109"/>
        <w:gridCol w:w="211"/>
        <w:gridCol w:w="406"/>
        <w:gridCol w:w="109"/>
        <w:gridCol w:w="109"/>
        <w:gridCol w:w="109"/>
        <w:gridCol w:w="109"/>
        <w:gridCol w:w="211"/>
        <w:gridCol w:w="406"/>
        <w:gridCol w:w="109"/>
        <w:gridCol w:w="109"/>
        <w:gridCol w:w="109"/>
        <w:gridCol w:w="109"/>
        <w:gridCol w:w="211"/>
        <w:gridCol w:w="376"/>
        <w:gridCol w:w="109"/>
        <w:gridCol w:w="109"/>
        <w:gridCol w:w="109"/>
        <w:gridCol w:w="109"/>
        <w:gridCol w:w="211"/>
        <w:gridCol w:w="481"/>
        <w:gridCol w:w="154"/>
      </w:tblGrid>
      <w:tr>
        <w:trPr/>
        <w:tc>
          <w:tcPr>
            <w:tcW w:w="187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 for workforce 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research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 for workforce 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(income) and expense, net</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charges</w:t>
            </w:r>
            <w:r>
              <w:rPr>
                <w:rFonts w:ascii="Arial;sans-serif" w:hAnsi="Arial;sans-serif"/>
                <w:b/>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charges related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charges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(a)Other (income) and expense, net includes gains from the sale of manufacturing facilities and associated real estate as part of the 2024 Transformation Initiative.</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(b)We do not include 2024 Transformation Initiative charges within our segment operating results. Total impact of these charges to the NA segment would have been $45 and $101 for the three and six months ended June 30, 2026, respectively (IPC segment amount was not material); $58 and $71 to the NA and IPC segments, respectively, for the three months ended June 30, 2025; and $85 and $91 to the NA and IPC segments, respectively, for the six months ended June 30, 2025, with the residual relating to Corporate &amp; Other. See further discussion around our segment operating results in Note 9.</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summarizes the 2024 Transformation Initiative liabilities activity:</w:t>
      </w:r>
    </w:p>
    <w:tbl>
      <w:tblPr>
        <w:tblW w:w="6318" w:type="dxa"/>
        <w:jc w:val="left"/>
        <w:tblInd w:w="0" w:type="dxa"/>
        <w:tblLayout w:type="fixed"/>
        <w:tblCellMar>
          <w:top w:w="28" w:type="dxa"/>
          <w:left w:w="28" w:type="dxa"/>
          <w:bottom w:w="28" w:type="dxa"/>
          <w:right w:w="28" w:type="dxa"/>
        </w:tblCellMar>
      </w:tblPr>
      <w:tblGrid>
        <w:gridCol w:w="1903"/>
        <w:gridCol w:w="1669"/>
        <w:gridCol w:w="1678"/>
        <w:gridCol w:w="109"/>
        <w:gridCol w:w="109"/>
        <w:gridCol w:w="109"/>
        <w:gridCol w:w="211"/>
        <w:gridCol w:w="376"/>
        <w:gridCol w:w="154"/>
      </w:tblGrid>
      <w:tr>
        <w:trPr/>
        <w:tc>
          <w:tcPr>
            <w:tcW w:w="19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 for workforce reductions and other cash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2024 Transformation Initiative liabilities are recorded in Accrued expenses and other current liabilities. The charges related to the 2024 Transformation Initiative are reflected within Operating Activities of our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60350"/>
                <wp:effectExtent l="0" t="0" r="0" b="0"/>
                <wp:wrapNone/>
                <wp:docPr id="12" name="Frame1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3.    Discontinued Operations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As disclosed in Note 1, on June 5, 2025, we announced the sale of a controlling equity interest in a newly formed Joint Venture comprised of our IFP Business. At the time of closing, Buyer will acquire a 51% interest in the Joint Venture for a purchase price of approximately $1.7 billion, subject to certain post-closing adjustments set forth in the Purchase Agreement. We will retain a 49% equity interest in the Joint Venture which we expect will initially be recorded at fair value and subsequently accounted for using the equity method of accounting. On July 1, 2026, subsequent to the quarter ended June 30, 2026, all consultation requirements and customary closing conditions set forth in the Purchase Agreement were satisfied and the IFP Transaction was completed. See Note 11 for further details.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June 26, 2026, Fampro Tissue Finance Co Limited (“Fampro”) entered into a facilities agreement (the “Facilities Agreement”) with FamPro Tissue Holdings B.V., as the original guarantor, Banco Bilbao Vizcaya Argentaria, S.A. New York Branch, Bank of America, N.A., London Branch, BNP Paribas and J.P. Morgan Securities plc, as mandated lead arrangers, bookrunners and global coordinators and the others lenders party thereto, that provides for (i) EUR 1,170 million of senior unsecured term loans (the “IFP Term Loan Facility”) and (ii) a EUR 260 million senior unsecured revolving credit facility (the “IFP Revolving Credit Facility”). The IFP Term Loan Facility matures in June 2031 and the IFP Revolving Credit Facility matures in June 2031 with two one-year extensions subject to consent of the lenders.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Borrowings under the IFP Term Loan Facility and the IFP Revolving Credit Facility will bear interest at a rate equal to EURIBOR (subject to a floor of 0.00%) plus an applicable margin. The applicable margin for the IFP Term Loan Facility will range from 0.95% to 1.90% depending on our credit rating and is initially 1.15%. The applicable margin for the IFP Revolving Credit Facility will range from 0.65% to 1.6% depending on credit rating and is initially 0.85%.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June 29, 2026, the Company borrowed approximately $1.3 billion under the IFP Term Loan Facility. In connection with the closing of the IFP Transaction, the obligations under the Facilities Agreement were transferred to the Joint Venture and as a result, the obligations are non-recourse to Kimberly-Clark.</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Financial Information of Discontinued Operations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following table presents the components of Income (Loss) from Discontinued Operations, Net of Income Taxes:</w:t>
      </w:r>
    </w:p>
    <w:tbl>
      <w:tblPr>
        <w:tblW w:w="10205" w:type="dxa"/>
        <w:jc w:val="left"/>
        <w:tblInd w:w="0" w:type="dxa"/>
        <w:tblLayout w:type="fixed"/>
        <w:tblCellMar>
          <w:top w:w="28" w:type="dxa"/>
          <w:left w:w="28" w:type="dxa"/>
          <w:bottom w:w="28" w:type="dxa"/>
          <w:right w:w="28" w:type="dxa"/>
        </w:tblCellMar>
      </w:tblPr>
      <w:tblGrid>
        <w:gridCol w:w="1993"/>
        <w:gridCol w:w="1667"/>
        <w:gridCol w:w="1656"/>
        <w:gridCol w:w="109"/>
        <w:gridCol w:w="109"/>
        <w:gridCol w:w="109"/>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56"/>
      </w:tblGrid>
      <w:tr>
        <w:trPr/>
        <w:tc>
          <w:tcPr>
            <w:tcW w:w="199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research and general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and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discontinued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from Discontinued Operations,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a result of the IFP Transaction, we incurred separation costs of $72 and $104 for the three and six months ended June 30, 2026, respectively, and $33 for the three and six months ended June 30, 2025, which are included in the reported amounts above. These costs were primarily related to external advisory, legal, accounting, contractor and other incremental costs directly related to the IFP Transaction.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Provision for income taxes for the three and six months ended June 30, 2026 includes incremental net tax charges relating to the impacts from an intercompany intellectual property transaction and reorganization activities completed in connection with the IFP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0350"/>
                <wp:effectExtent l="0" t="0" r="0" b="0"/>
                <wp:wrapNone/>
                <wp:docPr id="13" name="Frame1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significant non-cash items and capital expenditures of discontinued operations:</w:t>
      </w:r>
    </w:p>
    <w:tbl>
      <w:tblPr>
        <w:tblW w:w="6929" w:type="dxa"/>
        <w:jc w:val="left"/>
        <w:tblInd w:w="0" w:type="dxa"/>
        <w:tblLayout w:type="fixed"/>
        <w:tblCellMar>
          <w:top w:w="28" w:type="dxa"/>
          <w:left w:w="28" w:type="dxa"/>
          <w:bottom w:w="28" w:type="dxa"/>
          <w:right w:w="28" w:type="dxa"/>
        </w:tblCellMar>
      </w:tblPr>
      <w:tblGrid>
        <w:gridCol w:w="988"/>
        <w:gridCol w:w="869"/>
        <w:gridCol w:w="873"/>
        <w:gridCol w:w="109"/>
        <w:gridCol w:w="109"/>
        <w:gridCol w:w="109"/>
        <w:gridCol w:w="211"/>
        <w:gridCol w:w="407"/>
        <w:gridCol w:w="109"/>
        <w:gridCol w:w="109"/>
        <w:gridCol w:w="109"/>
        <w:gridCol w:w="109"/>
        <w:gridCol w:w="211"/>
        <w:gridCol w:w="377"/>
        <w:gridCol w:w="109"/>
        <w:gridCol w:w="109"/>
        <w:gridCol w:w="109"/>
        <w:gridCol w:w="109"/>
        <w:gridCol w:w="211"/>
        <w:gridCol w:w="406"/>
        <w:gridCol w:w="109"/>
        <w:gridCol w:w="109"/>
        <w:gridCol w:w="109"/>
        <w:gridCol w:w="109"/>
        <w:gridCol w:w="211"/>
        <w:gridCol w:w="37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Spending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the components of assets and liabilities classified as discontinued operations:</w:t>
      </w:r>
    </w:p>
    <w:tbl>
      <w:tblPr>
        <w:tblW w:w="8243" w:type="dxa"/>
        <w:jc w:val="left"/>
        <w:tblInd w:w="0" w:type="dxa"/>
        <w:tblLayout w:type="fixed"/>
        <w:tblCellMar>
          <w:top w:w="28" w:type="dxa"/>
          <w:left w:w="28" w:type="dxa"/>
          <w:bottom w:w="28" w:type="dxa"/>
          <w:right w:w="28" w:type="dxa"/>
        </w:tblCellMar>
      </w:tblPr>
      <w:tblGrid>
        <w:gridCol w:w="1733"/>
        <w:gridCol w:w="1524"/>
        <w:gridCol w:w="1543"/>
        <w:gridCol w:w="109"/>
        <w:gridCol w:w="109"/>
        <w:gridCol w:w="109"/>
        <w:gridCol w:w="255"/>
        <w:gridCol w:w="783"/>
        <w:gridCol w:w="132"/>
        <w:gridCol w:w="109"/>
        <w:gridCol w:w="109"/>
        <w:gridCol w:w="109"/>
        <w:gridCol w:w="338"/>
        <w:gridCol w:w="1035"/>
        <w:gridCol w:w="246"/>
      </w:tblGrid>
      <w:tr>
        <w:trPr/>
        <w:tc>
          <w:tcPr>
            <w:tcW w:w="173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1,931</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payable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533</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881</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1,540</w:t>
            </w:r>
            <w:r>
              <w:rPr>
                <w:color w:val="00000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Joint Venture Agreement and Ancillary Agreements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Upon the closing, K-C, Buyer and the Joint Venture will enter into a joint venture agreement (the "JVA"), which will set forth provisions relating to, among other things, the governance of the Joint Venture following closing, transfer restrictions with respect to the parties’ interests in the Joint Venture, and the option of Buyer to purchase K-C's equity interests in the Joint Venture. We will also enter into certain ancillary agreements including intellectual property rights, transition services agreements (the "TSA") and transitional supply arrangements (the "Supply Agreements"). Pursuant to the TSA, K-C will provide certain services to the Joint Venture, on an interim, transitional basis from and after the closing for an initial duration of 18 months, with certain extension rights provided therein. Pursuant to the Supply Agreements, K-C will manufacture and supply certain products to the Joint Venture and, similarly, the Joint Venture will manufacture and supply certain products to K-C for a period of up to 36 months following the closing with certain extension rights provided therein.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0350"/>
                <wp:effectExtent l="0" t="0" r="0" b="0"/>
                <wp:wrapNone/>
                <wp:docPr id="14" name="Frame1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hanging="900"/>
        <w:jc w:val="left"/>
        <w:rPr/>
      </w:pPr>
      <w:r>
        <w:rPr>
          <w:rFonts w:ascii="Arial;sans-serif" w:hAnsi="Arial;sans-serif"/>
          <w:b/>
          <w:color w:val="000000"/>
          <w:sz w:val="20"/>
        </w:rPr>
        <w:t>Note 4</w:t>
      </w:r>
      <w:r>
        <w:rPr>
          <w:rFonts w:ascii="Arial;sans-serif" w:hAnsi="Arial;sans-serif"/>
          <w:b/>
          <w:color w:val="000000"/>
          <w:sz w:val="20"/>
          <w:shd w:fill="FFFFFF" w:val="clear"/>
        </w:rPr>
        <w:t>.    Acquisitions</w:t>
      </w:r>
    </w:p>
    <w:p>
      <w:pPr>
        <w:pStyle w:val="TextBody"/>
        <w:bidi w:val="0"/>
        <w:spacing w:lineRule="auto" w:line="288" w:before="60" w:after="283"/>
        <w:jc w:val="both"/>
        <w:rPr>
          <w:rFonts w:ascii="Arial;sans-serif" w:hAnsi="Arial;sans-serif"/>
          <w:b w:val="false"/>
          <w:color w:val="000000"/>
          <w:sz w:val="20"/>
          <w:u w:val="single"/>
        </w:rPr>
      </w:pPr>
      <w:r>
        <w:rPr>
          <w:rFonts w:ascii="Arial;sans-serif" w:hAnsi="Arial;sans-serif"/>
          <w:b w:val="false"/>
          <w:color w:val="000000"/>
          <w:sz w:val="20"/>
          <w:u w:val="single"/>
        </w:rPr>
        <w:t>Pending Acquisition of Kenvue, Inc.</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 par value $0.01 per share, issued and outstanding at the close of the Kenvue Acquisition (subject to certain provisions within the Merger Agreement) will be converted into the right to receive (i) 0.14625 shares of Kimberly-Clark common stock, par value $1.25 per share (the "Stock Consideration"), plus (ii) $3.50 in cash (the "Cash Consideration" and, together with the Stock Consideration, the "Merger Consideration"). In total, we expect approximately 280 million shares of common stock to be issued and approximately $6.7 billion to be paid for the Merger Consideration. The Cash Consideration is expected to be funded through a combination of cash on hand, proceeds from new debt issuance, and proceeds from the IFP Transaction. The actual value of the transaction will fluctuate based upon changes in the price of Kimberly-Clark common stock and the number of shares of Kenvue common stock outstanding at the time of closing.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January 29, 2026, Kimberly-Clark and Kenvue each held a special meeting of their respective stockholders. During the respective meetings, Kimberly-Clark stockholders approved by requisite vote the issuance of Kimberly-Clark common stock as consideration to holders of Kenvue common stock, and Kenvue stockholders adopted by the requisite vote the Merger Agreement. Additionally, the waiting period applicable to the Kenvue Acquisition under the Hart-Scott-Rodino Antitrust Improvements Act of 1976, as amended, expired on February 4, 2026. Completion of the Kenvue Acquisition, which is expected to take place in the second half of 2026, remains subject to the satisfaction of other customary closing conditions, as described in the Merger Agreement, including the receipt of foreign regulatory approvals. The Merger Agreement also provides for certain termination rights, and under certain specified circumstances, both Kimberly-Clark and Kenvue may be required to pay the other a termination fee of $1.1 billion.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2026, we incurred $109 and $157, respectively, of acquisition-related costs in connection with the Kenvue Acquisition, which are included in Marketing, research and general expenses. As of June 30, 2026 and December 31, 2025, Other current assets includes deferred share issuance costs of $6 that will be recognized in Additional paid-in capital upon issuance of the Stock Consideration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5.    Fair Value Information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following fair value information is based on a fair value hierarchy that prioritizes the inputs to valuation techniques used to measure fair value. The three levels in the hierarchy used to measure fair value 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accessible at the reporting date for identical assets and liabilities.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Level 2 – Quoted prices for similar assets or liabilities in active markets. Quoted prices for identical or similar assets and liabilities in markets that are not considered active or financial instruments for which all significant inputs are observable, either directly or indirectly.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Level 3 – Prices or valuations that require inputs that are significant to the valuation and are unobservable.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 financial instrument's level within the fair value hierarchy is based on the lowest level of any input that is significant to the fair value measurement.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six months ended June 30, 2026 and for the full year 2025, there were no significant transfers to or from level 3 fair value determinations.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Derivative assets and liabilities are measured on a recurring basis at fair value. As of June 30, 2026 and December 31, 2025, derivative assets were $135 and $81, respectively, and derivative liabilities were $213 and $191, respectively. The fair values of derivatives used to manage interest rate risk and commodity price risk are based on the Secured Overnight Financing Rate ("SOFR") and interest rate swap curves and on commodity price quotations, respectively. The fair values of hedging instruments used to manage foreign currency risk are based on published quotations of spot currency rates and forward points, which are converted into implied forward currency rates. Measurement of our derivative assets and liabilities is considered a level 2 measurement. See Note 8 for additional information on our use of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0350"/>
                <wp:effectExtent l="0" t="0" r="0" b="0"/>
                <wp:wrapNone/>
                <wp:docPr id="15" name="Frame1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pPr>
      <w:r>
        <w:rPr>
          <w:rFonts w:ascii="Arial;sans-serif" w:hAnsi="Arial;sans-serif"/>
          <w:b w:val="false"/>
          <w:color w:val="000000"/>
          <w:sz w:val="20"/>
        </w:rPr>
        <w:t>Redeemable preferred securities of subsidiaries are measured on a recurring basis at their estimated redemption values, which approximate fair value. As of June 30, 2026 and December 31, 2025, the securities were valued at $22. The se</w:t>
      </w:r>
      <w:r>
        <w:rPr>
          <w:rFonts w:ascii="Arial;sans-serif" w:hAnsi="Arial;sans-serif"/>
          <w:b w:val="false"/>
          <w:color w:val="000000"/>
          <w:sz w:val="20"/>
          <w:shd w:fill="FFFFFF" w:val="clear"/>
        </w:rPr>
        <w:t>curities are not traded in active markets, and their measurement is considered a level 3 measurement.</w:t>
      </w:r>
    </w:p>
    <w:p>
      <w:pPr>
        <w:pStyle w:val="TextBody"/>
        <w:bidi w:val="0"/>
        <w:spacing w:lineRule="auto" w:line="288" w:before="180" w:after="283"/>
        <w:jc w:val="both"/>
        <w:rPr/>
      </w:pPr>
      <w:r>
        <w:rPr>
          <w:rFonts w:ascii="Arial;sans-serif" w:hAnsi="Arial;sans-serif"/>
          <w:b w:val="false"/>
          <w:color w:val="000000"/>
          <w:sz w:val="20"/>
        </w:rPr>
        <w:t xml:space="preserve">Company-owned life insurance ("COLI") assets are measured on a recurring basis at fair value. COLI assets were </w:t>
      </w:r>
      <w:r>
        <w:rPr>
          <w:rFonts w:ascii="Arial;sans-serif" w:hAnsi="Arial;sans-serif"/>
          <w:b w:val="false"/>
          <w:color w:val="000000"/>
          <w:sz w:val="20"/>
          <w:shd w:fill="FFFFFF" w:val="clear"/>
        </w:rPr>
        <w:t>$69</w:t>
      </w:r>
      <w:r>
        <w:rPr>
          <w:color w:val="000000"/>
        </w:rPr>
        <w:t xml:space="preserve"> </w:t>
      </w:r>
      <w:r>
        <w:rPr>
          <w:rFonts w:ascii="Arial;sans-serif" w:hAnsi="Arial;sans-serif"/>
          <w:b w:val="false"/>
          <w:color w:val="000000"/>
          <w:sz w:val="20"/>
        </w:rPr>
        <w:t xml:space="preserve">and $71 as of June 30, 2026 </w:t>
      </w:r>
      <w:r>
        <w:rPr>
          <w:rFonts w:ascii="Arial;sans-serif" w:hAnsi="Arial;sans-serif"/>
          <w:b w:val="false"/>
          <w:color w:val="000000"/>
          <w:sz w:val="20"/>
          <w:shd w:fill="FFFFFF" w:val="clear"/>
        </w:rPr>
        <w:t>and December 31, 2025, respectively</w:t>
      </w:r>
      <w:r>
        <w:rPr>
          <w:rFonts w:ascii="Arial;sans-serif" w:hAnsi="Arial;sans-serif"/>
          <w:b w:val="false"/>
          <w:color w:val="000000"/>
          <w:sz w:val="20"/>
        </w:rPr>
        <w:t>. The COLI policies are a source of funding primarily for our nonqualified employee benefits and are included in Other Assets in the Condensed</w:t>
      </w:r>
      <w:r>
        <w:rPr>
          <w:color w:val="000000"/>
        </w:rPr>
        <w:t xml:space="preserve"> </w:t>
      </w:r>
      <w:r>
        <w:rPr>
          <w:rFonts w:ascii="Arial;sans-serif" w:hAnsi="Arial;sans-serif"/>
          <w:b w:val="false"/>
          <w:color w:val="000000"/>
          <w:sz w:val="20"/>
        </w:rPr>
        <w:t>Consolidated Balance Sheets. The COLI policies are measured at fair value using the net asset value per share practical expedient, and therefore, are not classified in the fair value hierarchy.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includes the fair value of our financial instruments for which disclosure of fair value is required:</w:t>
      </w:r>
    </w:p>
    <w:tbl>
      <w:tblPr>
        <w:tblW w:w="10205" w:type="dxa"/>
        <w:jc w:val="left"/>
        <w:tblInd w:w="0" w:type="dxa"/>
        <w:tblLayout w:type="fixed"/>
        <w:tblCellMar>
          <w:top w:w="28" w:type="dxa"/>
          <w:left w:w="28" w:type="dxa"/>
          <w:bottom w:w="28" w:type="dxa"/>
          <w:right w:w="28" w:type="dxa"/>
        </w:tblCellMar>
      </w:tblPr>
      <w:tblGrid>
        <w:gridCol w:w="705"/>
        <w:gridCol w:w="621"/>
        <w:gridCol w:w="629"/>
        <w:gridCol w:w="109"/>
        <w:gridCol w:w="109"/>
        <w:gridCol w:w="109"/>
        <w:gridCol w:w="516"/>
        <w:gridCol w:w="516"/>
        <w:gridCol w:w="518"/>
        <w:gridCol w:w="109"/>
        <w:gridCol w:w="109"/>
        <w:gridCol w:w="109"/>
        <w:gridCol w:w="306"/>
        <w:gridCol w:w="698"/>
        <w:gridCol w:w="158"/>
        <w:gridCol w:w="109"/>
        <w:gridCol w:w="109"/>
        <w:gridCol w:w="109"/>
        <w:gridCol w:w="354"/>
        <w:gridCol w:w="808"/>
        <w:gridCol w:w="183"/>
        <w:gridCol w:w="109"/>
        <w:gridCol w:w="109"/>
        <w:gridCol w:w="109"/>
        <w:gridCol w:w="306"/>
        <w:gridCol w:w="698"/>
        <w:gridCol w:w="158"/>
        <w:gridCol w:w="109"/>
        <w:gridCol w:w="109"/>
        <w:gridCol w:w="109"/>
        <w:gridCol w:w="345"/>
        <w:gridCol w:w="789"/>
        <w:gridCol w:w="26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956</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956</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Time deposits</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Short-term debt</w:t>
            </w:r>
            <w:r>
              <w:rPr>
                <w:rFonts w:ascii="Arial;sans-serif" w:hAnsi="Arial;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Long-term debt</w:t>
            </w:r>
            <w:r>
              <w:rPr>
                <w:rFonts w:ascii="Arial;sans-serif" w:hAnsi="Arial;sans-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6,486</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6,013</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(a)Cash equivalents are composed of certificates of deposit, time deposits and other interest-bearing investments with original maturity dates of 90 days or less. Cash equivalents are recorded at cost, which approximates fair value. </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(b)Time deposits are composed of deposits with original maturities of more than 90 days but less than one year and instruments with original maturities of greater than one year, included in Other current assets or Other Assets in the Condensed Consolidated Balance Sheets, as appropriate. Time deposits are recorded at cost, which approximates fair value. </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(c)Short-term debt is composed of U.S. commercial paper and/or other similar short-term debt issued by non-U.S. subsidiaries, all of which are recorded at cost, which approximates fair value.</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(d)Long-term debt includes the current portion of these debt instruments. Fair values were estimated based on quoted prices for financial instruments for which all significant inputs were observable, either directly or indirectly.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0350"/>
                <wp:effectExtent l="0" t="0" r="0" b="0"/>
                <wp:wrapNone/>
                <wp:docPr id="16" name="Frame1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6.    Earnings Per Share</w:t>
      </w:r>
    </w:p>
    <w:p>
      <w:pPr>
        <w:pStyle w:val="TextBody"/>
        <w:bidi w:val="0"/>
        <w:spacing w:lineRule="auto" w:line="288" w:before="60" w:after="283"/>
        <w:jc w:val="both"/>
        <w:rPr/>
      </w:pPr>
      <w:r>
        <w:rPr>
          <w:rFonts w:ascii="Arial;sans-serif" w:hAnsi="Arial;sans-serif"/>
          <w:b w:val="false"/>
          <w:color w:val="000000"/>
          <w:sz w:val="20"/>
        </w:rPr>
        <w:t>Basic and diluted earnings per share ("EPS")</w:t>
      </w:r>
      <w:r>
        <w:rPr>
          <w:color w:val="000000"/>
        </w:rPr>
        <w:t xml:space="preserve"> </w:t>
      </w:r>
      <w:r>
        <w:rPr>
          <w:rFonts w:ascii="Arial;sans-serif" w:hAnsi="Arial;sans-serif"/>
          <w:b w:val="false"/>
          <w:color w:val="000000"/>
          <w:sz w:val="20"/>
        </w:rPr>
        <w:t xml:space="preserve">were calculated as follows: </w:t>
      </w:r>
    </w:p>
    <w:tbl>
      <w:tblPr>
        <w:tblW w:w="10205" w:type="dxa"/>
        <w:jc w:val="left"/>
        <w:tblInd w:w="0" w:type="dxa"/>
        <w:tblLayout w:type="fixed"/>
        <w:tblCellMar>
          <w:top w:w="28" w:type="dxa"/>
          <w:left w:w="28" w:type="dxa"/>
          <w:bottom w:w="28" w:type="dxa"/>
          <w:right w:w="28" w:type="dxa"/>
        </w:tblCellMar>
      </w:tblPr>
      <w:tblGrid>
        <w:gridCol w:w="2130"/>
        <w:gridCol w:w="1530"/>
        <w:gridCol w:w="1536"/>
        <w:gridCol w:w="109"/>
        <w:gridCol w:w="109"/>
        <w:gridCol w:w="109"/>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6"/>
      </w:tblGrid>
      <w:tr>
        <w:trPr/>
        <w:tc>
          <w:tcPr>
            <w:tcW w:w="21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from Discontinued Operations,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and restricted share unit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use the treasury stock method to calculate the dilutive effect of our outstanding stock-based awards. Options outstanding not included in the computation of diluted EPS because their exercise price was greater than the average market price of the common shares were 2.4 million for the three and six months ended June 30, 2026 and 1.1 million for the three and six months ended June 30, 2025. The number of common shares outstanding as of June 30, 2026 and 2025 was 332.6 million and 331.9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7.    Stockholders' Equity</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Net unrealized currency gains or losses resulting from the translation of assets and liabilities of foreign subsidiaries, except those in highly inflationary economies, are recorded in Accumulated Other Comprehensive Income ("AOCI"). For these operations, changes in exchange rates generally do not affect cash flows; therefore, unrealized translation adjustments are recorded in AOCI rather than net income. Upon sale or substantially complete liquidation of any of these subsidiaries, the applicable unrealized translation adjustment would be removed from AOCI and reported as part of the gain or loss on the sale or liquidation. The change in unrealized translation for the six months ended June 30, 2026 was primarily due to the strengthening of the U.S. dollar versus various foreign currencies.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Also included in unrealized translation amounts are the effects of foreign exchange rate changes on intercompany balances of a long-term investment nature and transactions designated as hedges of net foreign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0350"/>
                <wp:effectExtent l="0" t="0" r="0" b="0"/>
                <wp:wrapNone/>
                <wp:docPr id="17" name="Frame1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changes in the components of AOCI attributable to Kimberly-Clark, net of tax, are as follows:</w:t>
      </w:r>
    </w:p>
    <w:tbl>
      <w:tblPr>
        <w:tblW w:w="10205" w:type="dxa"/>
        <w:jc w:val="left"/>
        <w:tblInd w:w="0" w:type="dxa"/>
        <w:tblLayout w:type="fixed"/>
        <w:tblCellMar>
          <w:top w:w="28" w:type="dxa"/>
          <w:left w:w="28" w:type="dxa"/>
          <w:bottom w:w="28" w:type="dxa"/>
          <w:right w:w="28" w:type="dxa"/>
        </w:tblCellMar>
      </w:tblPr>
      <w:tblGrid>
        <w:gridCol w:w="1243"/>
        <w:gridCol w:w="823"/>
        <w:gridCol w:w="828"/>
        <w:gridCol w:w="109"/>
        <w:gridCol w:w="109"/>
        <w:gridCol w:w="109"/>
        <w:gridCol w:w="275"/>
        <w:gridCol w:w="909"/>
        <w:gridCol w:w="142"/>
        <w:gridCol w:w="109"/>
        <w:gridCol w:w="109"/>
        <w:gridCol w:w="109"/>
        <w:gridCol w:w="357"/>
        <w:gridCol w:w="878"/>
        <w:gridCol w:w="184"/>
        <w:gridCol w:w="109"/>
        <w:gridCol w:w="109"/>
        <w:gridCol w:w="109"/>
        <w:gridCol w:w="560"/>
        <w:gridCol w:w="1001"/>
        <w:gridCol w:w="291"/>
        <w:gridCol w:w="109"/>
        <w:gridCol w:w="109"/>
        <w:gridCol w:w="109"/>
        <w:gridCol w:w="295"/>
        <w:gridCol w:w="579"/>
        <w:gridCol w:w="152"/>
        <w:gridCol w:w="109"/>
        <w:gridCol w:w="109"/>
        <w:gridCol w:w="162"/>
      </w:tblGrid>
      <w:tr>
        <w:trPr/>
        <w:tc>
          <w:tcPr>
            <w:tcW w:w="124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Flow Hedges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(3,068)</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(2,675)</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(736)</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Included in Nonoperating expense as part of the computation of net periodic benefit costs.</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(b)    Included in Interest expense, Cost of products sold or Other (income) and expense, net, based on the income statement line that the hedged exposure affects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8.    Objectives and Strategies for Using Derivatives</w:t>
      </w:r>
    </w:p>
    <w:p>
      <w:pPr>
        <w:pStyle w:val="TextBody"/>
        <w:bidi w:val="0"/>
        <w:spacing w:lineRule="auto" w:line="288" w:before="60" w:after="283"/>
        <w:jc w:val="both"/>
        <w:rPr/>
      </w:pPr>
      <w:r>
        <w:rPr>
          <w:rFonts w:ascii="Arial;sans-serif" w:hAnsi="Arial;sans-serif"/>
          <w:b w:val="false"/>
          <w:color w:val="000000"/>
          <w:sz w:val="20"/>
        </w:rPr>
        <w:t>As a multinational enterprise, we are exposed to financial risks, such as changes in foreign currency exchange rates, interest r</w:t>
      </w:r>
      <w:r>
        <w:rPr>
          <w:rFonts w:ascii="Arial;sans-serif" w:hAnsi="Arial;sans-serif"/>
          <w:b w:val="false"/>
          <w:color w:val="000000"/>
          <w:sz w:val="20"/>
          <w:shd w:fill="FFFFFF" w:val="clear"/>
        </w:rPr>
        <w:t xml:space="preserve">ates, and commodity prices. We employ a number of practices to manage these risks, including operating and financing </w:t>
      </w:r>
      <w:r>
        <w:rPr>
          <w:rFonts w:ascii="Arial;sans-serif" w:hAnsi="Arial;sans-serif"/>
          <w:b w:val="false"/>
          <w:color w:val="000000"/>
          <w:sz w:val="20"/>
        </w:rPr>
        <w:t>activities and, where appropriate, the use of derivative instruments.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and December 31, 2025, derivative assets were $135 and $81, respectively, and derivative liabilities were $213 and $191, respectively, primarily comprised of foreign currency exchange, interest rate and commodity price contracts. Derivative assets are recorded in Other current assets or Other Assets, as appropriate, and derivative liabilities are recorded in Accrued expenses and other current liabilities or Other Liabilities, as appropriate.</w:t>
      </w:r>
    </w:p>
    <w:p>
      <w:pPr>
        <w:pStyle w:val="TextBody"/>
        <w:bidi w:val="0"/>
        <w:spacing w:lineRule="auto" w:line="288" w:before="180" w:after="60"/>
        <w:jc w:val="left"/>
        <w:rPr>
          <w:rFonts w:ascii="Arial;sans-serif" w:hAnsi="Arial;sans-serif"/>
          <w:b w:val="false"/>
          <w:color w:val="000000"/>
          <w:sz w:val="20"/>
          <w:u w:val="single"/>
        </w:rPr>
      </w:pPr>
      <w:r>
        <w:rPr>
          <w:rFonts w:ascii="Arial;sans-serif" w:hAnsi="Arial;sans-serif"/>
          <w:b w:val="false"/>
          <w:color w:val="000000"/>
          <w:sz w:val="20"/>
          <w:u w:val="single"/>
        </w:rPr>
        <w:t>Foreign Currency Exchange Rate Risk</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Translation adjustments result from translating foreign entities' financial statements into U.S. dollars from their functional currencies. The risk to any particular entity's net assets is reduced to the extent that the entity is financed with local currency borrowings. A portion of our balance sheet translation exposure for certain affiliates, which results from changes in translation rates between the affiliates’ functional currencies and the U.S. dollar, is hedged with cross-currency swap contracts and certain foreign denominated debt which are designated as net investment hedges. The foreign currency exposure on certain non-functional currency denominated monetary assets and liabilities, primarily intercompany loans and accounts payable, is hedged primarily with undesignated derivative instruments.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Derivative instruments are used to hedge a portion of forecasted cash flows denominated in foreign currencies for non-U.S. operations' purchases of raw materials, which are priced in U.S. dollars, and imports of intercompany finished goods and work-in-process inventories priced predominantly in U.S. dollars and euros. The derivative instruments used to manage these exposures are designated as cash flow hedges.</w:t>
      </w:r>
    </w:p>
    <w:p>
      <w:pPr>
        <w:pStyle w:val="TextBody"/>
        <w:bidi w:val="0"/>
        <w:spacing w:lineRule="auto" w:line="288" w:before="180" w:after="60"/>
        <w:jc w:val="left"/>
        <w:rPr>
          <w:rFonts w:ascii="Arial;sans-serif" w:hAnsi="Arial;sans-serif"/>
          <w:b w:val="false"/>
          <w:color w:val="000000"/>
          <w:sz w:val="20"/>
          <w:u w:val="single"/>
        </w:rPr>
      </w:pPr>
      <w:r>
        <w:rPr>
          <w:rFonts w:ascii="Arial;sans-serif" w:hAnsi="Arial;sans-serif"/>
          <w:b w:val="false"/>
          <w:color w:val="000000"/>
          <w:sz w:val="20"/>
          <w:u w:val="single"/>
        </w:rPr>
        <w:t>Interest Rate Risk</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Interest rate risk is managed using a portfolio of variable and fixed-rate debt composed of short and long-term instruments. Interest rate swap contracts may be used to facilitate the maintenance of the desired ratio of variable and fixed-rate debt and are designated as fair value hedges. We also use derivative instruments, such as forward-starting swaps or treasury lock contracts, to manage our exposure to changes in benchmark interest rates associated with our anticipated issuance of fixed-rate debt. These derivative instruments are typically designated as cash flow hedges.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0350"/>
                <wp:effectExtent l="0" t="0" r="0" b="0"/>
                <wp:wrapNone/>
                <wp:docPr id="18" name="Frame1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60"/>
        <w:jc w:val="left"/>
        <w:rPr>
          <w:rFonts w:ascii="Arial;sans-serif" w:hAnsi="Arial;sans-serif"/>
          <w:b w:val="false"/>
          <w:color w:val="000000"/>
          <w:sz w:val="20"/>
          <w:u w:val="single"/>
        </w:rPr>
      </w:pPr>
      <w:r>
        <w:rPr>
          <w:rFonts w:ascii="Arial;sans-serif" w:hAnsi="Arial;sans-serif"/>
          <w:b w:val="false"/>
          <w:color w:val="000000"/>
          <w:sz w:val="20"/>
          <w:u w:val="single"/>
        </w:rPr>
        <w:t>Commodity Price Risk</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We use derivative instruments, such as commodity forward and price swap contracts, to hedge a portion of our exposure to market risk arising from changes in prices of certain commodities. These derivatives are primarily designated as cash flow hedges of specific quantities of the underlying commodity expected to be purchased in future months. In addition, we utilize negotiated contracts of varying durations along with strategic pricing mechanisms to manage volatility for a portion of our commodity costs.</w:t>
      </w:r>
    </w:p>
    <w:p>
      <w:pPr>
        <w:pStyle w:val="TextBody"/>
        <w:bidi w:val="0"/>
        <w:spacing w:lineRule="auto" w:line="288" w:before="180" w:after="60"/>
        <w:jc w:val="left"/>
        <w:rPr>
          <w:rFonts w:ascii="Arial;sans-serif" w:hAnsi="Arial;sans-serif"/>
          <w:b w:val="false"/>
          <w:color w:val="000000"/>
          <w:sz w:val="20"/>
          <w:u w:val="single"/>
        </w:rPr>
      </w:pPr>
      <w:r>
        <w:rPr>
          <w:rFonts w:ascii="Arial;sans-serif" w:hAnsi="Arial;sans-serif"/>
          <w:b w:val="false"/>
          <w:color w:val="000000"/>
          <w:sz w:val="20"/>
          <w:u w:val="single"/>
        </w:rPr>
        <w:t>Fair Value Hedges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Derivative instruments that are designated and qualify as fair value hedges are predominantly used to manage interest rate risk. The fair values of these derivative instruments are recorded as an asset or liability, as appropriate, with the offset recorded in Interest expense. The offset to the change in fair values of the related debt is also recorded in Interest expense. Any realized gain or loss on the derivatives that hedge interest rate risk is amortized to Interest expense over the life of the related debt. As of June 30, 2026, the aggregate notional values and carrying values of debt subject to outstanding interest rate contracts designated as fair value hedges were $325 and $304, respectively. For the three and six months ended June 30, 2026 and 2025, gains or losses recognized in Interest expense for interest rate swaps were not material.</w:t>
      </w:r>
    </w:p>
    <w:p>
      <w:pPr>
        <w:pStyle w:val="TextBody"/>
        <w:bidi w:val="0"/>
        <w:spacing w:lineRule="auto" w:line="288" w:before="180" w:after="60"/>
        <w:jc w:val="left"/>
        <w:rPr>
          <w:rFonts w:ascii="Arial;sans-serif" w:hAnsi="Arial;sans-serif"/>
          <w:b w:val="false"/>
          <w:color w:val="000000"/>
          <w:sz w:val="20"/>
          <w:u w:val="single"/>
        </w:rPr>
      </w:pPr>
      <w:r>
        <w:rPr>
          <w:rFonts w:ascii="Arial;sans-serif" w:hAnsi="Arial;sans-serif"/>
          <w:b w:val="false"/>
          <w:color w:val="000000"/>
          <w:sz w:val="20"/>
          <w:u w:val="single"/>
        </w:rPr>
        <w:t>Cash Flow Hedges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For derivative instruments that are designated and qualify as cash flow hedges, the gain or loss on the derivative instrument is initially recorded in AOCI, net of related income taxes, and recognized in earnings in the same income statement line and period that the hedged exposure affects earnings.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Foreign Exchange and Commodity Contracts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As of June 30, 2026, the aggregate notional value of outstanding foreign exchange and commodity derivative contracts designated as cash flow hedges was $2.1 billion. Unrealized losses of $17 and $124 were recorded in AOCI for the three months ended June 30, 2026 and 2025, respectively. Unrealized gains of $20 and unrealized losses of $144 were recorded in AOCI for the six months ended June 30, 2026 and 2025, respectively. Losses of $15 and $11 for the three months ended June 30, 2026 and 2025, respectively, and losses of $44 and $17 for the six months ended June 30, 2026 and 2025, respectively, were reclassified from AOCI to Income (Loss) from Discontinued Operations, Net of Income Taxes (discussed further below), Other (income) and expense, net and Cost of products sold.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the three and six months ended June 30, 2026, no material gains or losses were reclassified from AOCI into earnings as a result of the discontinuance of cash flow hedge accounting. For the three and six months ended June 30, 2025, we discontinued cash flow hedge accounting for certain foreign exchange and commodity instruments with a notional value of $681 because the forecasted transactions were no longer probable of occurring due to the IFP Transaction. As a result, pre-tax losses of $20 were reclassified from AOCI into Income (Loss) from Discontinued Operations, Net of Income Taxes. The maximum maturity of foreign exchange and commodity derivative contracts in place as of June 30, 2026 is May 2029.</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Forward-Starting Interest Rate Swap Contracts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In the second quarter of 2026, we entered into $4.3 billion of aggregate notional forward-starting interest rate swaps in anticipation of the issuance of fixed-rate debt in connection with the Kenvue Acquisition. The gains or losses initially recorded in AOCI will be amortized and recorded in Interest expense over the term of the hedged debt. Unrealized losses of $24 were recorded in AOCI for the three and six months ended June 30, 2026.</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As of June 30, 2026, losses associated with our cash flow hedges expected to be reclassified from AOCI into Interest expense, Cost of products sold or Other (income) and expense, net during the next twelve months are $2. </w:t>
      </w:r>
    </w:p>
    <w:p>
      <w:pPr>
        <w:pStyle w:val="TextBody"/>
        <w:bidi w:val="0"/>
        <w:spacing w:lineRule="auto" w:line="288" w:before="180" w:after="60"/>
        <w:jc w:val="left"/>
        <w:rPr>
          <w:rFonts w:ascii="Arial;sans-serif" w:hAnsi="Arial;sans-serif"/>
          <w:b w:val="false"/>
          <w:color w:val="000000"/>
          <w:sz w:val="20"/>
          <w:u w:val="single"/>
        </w:rPr>
      </w:pPr>
      <w:r>
        <w:rPr>
          <w:rFonts w:ascii="Arial;sans-serif" w:hAnsi="Arial;sans-serif"/>
          <w:b w:val="false"/>
          <w:color w:val="000000"/>
          <w:sz w:val="20"/>
          <w:u w:val="single"/>
        </w:rPr>
        <w:t>Net Investment Hedges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For derivative instruments that are designated and qualify as net investment hedges, unrealized gains and losses related to changes in fair value of net investment hedges are recorded in AOCI and offset the change in the value of the net investment being hedged. As of June 30, 2026, the aggregate notional value of these instruments was $1.8 billion. We exclude the interest accruals on cross-currency swap contracts and the forward points on foreign exchange forward contracts from the assessment and measurement of hedge effectiveness. Interest accruals on cross-currency swap contracts are recognized in earnings within Interest expense. We amortize the forward points on foreign exchange contracts into earnings within Interest expense over the life of the hedging relationship. Unrealized losses of $12 and $128 were recorded in AOCI for the three months ended June 30, 2026 and 2025, respectively. Unrealized gains of $15 and unrealized losses of $148 were recorded in AOCI for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0350"/>
                <wp:effectExtent l="0" t="0" r="0" b="0"/>
                <wp:wrapNone/>
                <wp:docPr id="19" name="Frame1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ended June 30, 2026 and 2025, respectively. For the three and six months ended June 30, 2026 and 2025, no material amounts were reclassified from AOCI to Interest expense.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the three and six months ended June 30, 2026 and 2025, no material amounts were excluded from the assessment of net investment, fair value or cash flow hedge effectiveness.</w:t>
      </w:r>
    </w:p>
    <w:p>
      <w:pPr>
        <w:pStyle w:val="TextBody"/>
        <w:bidi w:val="0"/>
        <w:spacing w:lineRule="auto" w:line="288" w:before="180" w:after="60"/>
        <w:jc w:val="left"/>
        <w:rPr>
          <w:rFonts w:ascii="Arial;sans-serif" w:hAnsi="Arial;sans-serif"/>
          <w:b w:val="false"/>
          <w:color w:val="000000"/>
          <w:sz w:val="20"/>
          <w:u w:val="single"/>
        </w:rPr>
      </w:pPr>
      <w:r>
        <w:rPr>
          <w:rFonts w:ascii="Arial;sans-serif" w:hAnsi="Arial;sans-serif"/>
          <w:b w:val="false"/>
          <w:color w:val="000000"/>
          <w:sz w:val="20"/>
          <w:u w:val="single"/>
        </w:rPr>
        <w:t>Undesignated Hedging Instruments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Gains or losses on undesignated foreign exchange instruments are immediately recognized in Other (income) and expense, net. Gains of $0 and $38 were recorded for the three months ended June 30, 2026 and 2025, respectively. Losses of $3 and gains of $62 were recorded for the six months ended June 30, 2026 and 2025, respectively. The effect on earnings from the use of these undesignated derivatives is substantially neutralized by the transactional gains and losses recorded on the underlying assets and liabilities. As of June 30, 2026, the notional amount of these undesignated derivative instruments was approximately $5.4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9.    Segment Reporting</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The Company's continuing operations are organized by operating segments aggregated into two reportable segments defined by geographic region: North America ("NA") and International Personal Care ("IPC").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a result of the IFP Transaction discussed in Notes 1 and 3, the results of operations and applicable assets and liabilities of the IFP Business are reported as discontinued operations in the Company's financial statements and are excluded from segment results for all periods presented. Certain operations and commercial activities of the former IFP segment retained by K-C are now reported in the NA and IPC segments. For further information about these changes, refer to our Annual Report on Form 10-K for the year ended December 31,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reportable segments were determined in accordance with how our Chief Executive Officer, who is our chief operating decision maker ("CODM"), develops and executes global strategies to drive growth and profitability. These strategies include global plans for branding and product positioning, technology, research and development programs, cost reductions including supply chain management, and capacity and capital investments for each of these businesses. The primary measure of segment profitability utilized by our CODM is segment operating profit. Our CODM uses this measure to assess the operating results and performance of our segments, perform analytical comparisons to budget and allocate resources to each segment. Segment operating profit excludes Corporate &amp; Other, which primarily encompasses certain unallocated general corporate expenses, impairment charges, one-time (gains) or losses associated with acquisitions and divestitures, costs related to our reorganization activities that are not associated with the ongoing operations of the segments, certain operations of the former IFP segment that were divested prior to the IFP Transaction, and costs previously allocated to the former IFP segment that aren't reported as discontinued operations. Our CODM does not use assets by segment to evaluate performance or allocate resources. Therefore, we do not disclose assets by segment.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principal sources of revenue in each segment are described below:</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North America</w:t>
      </w:r>
      <w:r>
        <w:rPr>
          <w:color w:val="000000"/>
        </w:rPr>
        <w:t xml:space="preserve"> </w:t>
      </w:r>
      <w:r>
        <w:rPr>
          <w:rFonts w:ascii="Arial;sans-serif" w:hAnsi="Arial;sans-serif"/>
          <w:b w:val="false"/>
          <w:color w:val="000000"/>
          <w:sz w:val="20"/>
        </w:rPr>
        <w:t>consists of products encompassing each of our five global daily-need categories across consumer and professional channels including disposable diapers, training and youth pants, swimpants, baby wipes, feminine and incontinence care products, reusable underwear, facial and bathroom tissue, paper towels, napkins, wipers, tissue, towels, soaps and sanitizers and other related products. These products are sold under the Huggies, Pull-Ups, GoodNites, Kotex, Poise, Depend, Kleenex, Scott, Cottonelle, Viva, Wypall and other brand names.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 xml:space="preserve">International Personal Care </w:t>
      </w:r>
      <w:r>
        <w:rPr>
          <w:rFonts w:ascii="Arial;sans-serif" w:hAnsi="Arial;sans-serif"/>
          <w:b w:val="false"/>
          <w:color w:val="000000"/>
          <w:sz w:val="20"/>
        </w:rPr>
        <w:t>consists of three core categories — Baby &amp; Child Care, Adult Care and Feminine Care, including disposable diapers, training and youth pants, swimpants, baby wipes, feminine and incontinence care products, reusable underwear and other related products. These products are sold under the Huggies, Kotex, Goodfeel, Intimus, Depend and other brand names.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0350"/>
                <wp:effectExtent l="0" t="0" r="0" b="0"/>
                <wp:wrapNone/>
                <wp:docPr id="20" name="Frame1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tables below present net sales and the significant expense categories that are included in Segment Operating Profit and regularly provided to our CODM: </w:t>
      </w:r>
    </w:p>
    <w:tbl>
      <w:tblPr>
        <w:tblW w:w="7509" w:type="dxa"/>
        <w:jc w:val="left"/>
        <w:tblInd w:w="0" w:type="dxa"/>
        <w:tblLayout w:type="fixed"/>
        <w:tblCellMar>
          <w:top w:w="28" w:type="dxa"/>
          <w:left w:w="28" w:type="dxa"/>
          <w:bottom w:w="28" w:type="dxa"/>
          <w:right w:w="28" w:type="dxa"/>
        </w:tblCellMar>
      </w:tblPr>
      <w:tblGrid>
        <w:gridCol w:w="1297"/>
        <w:gridCol w:w="1141"/>
        <w:gridCol w:w="1147"/>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IPC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4,189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Promotion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Selling and General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(Income) and Expense, net</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633</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7509" w:type="dxa"/>
        <w:jc w:val="left"/>
        <w:tblInd w:w="0" w:type="dxa"/>
        <w:tblLayout w:type="fixed"/>
        <w:tblCellMar>
          <w:top w:w="28" w:type="dxa"/>
          <w:left w:w="28" w:type="dxa"/>
          <w:bottom w:w="28" w:type="dxa"/>
          <w:right w:w="28" w:type="dxa"/>
        </w:tblCellMar>
      </w:tblPr>
      <w:tblGrid>
        <w:gridCol w:w="1297"/>
        <w:gridCol w:w="1141"/>
        <w:gridCol w:w="1147"/>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IPC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8,352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5,112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Promotion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Selling and General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(Income) and Expense, net</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7509" w:type="dxa"/>
        <w:jc w:val="left"/>
        <w:tblInd w:w="0" w:type="dxa"/>
        <w:tblLayout w:type="fixed"/>
        <w:tblCellMar>
          <w:top w:w="28" w:type="dxa"/>
          <w:left w:w="28" w:type="dxa"/>
          <w:bottom w:w="28" w:type="dxa"/>
          <w:right w:w="28" w:type="dxa"/>
        </w:tblCellMar>
      </w:tblPr>
      <w:tblGrid>
        <w:gridCol w:w="1297"/>
        <w:gridCol w:w="1141"/>
        <w:gridCol w:w="1147"/>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IPC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Promotion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Selling and General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(Income) and Expense, net</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Other (income) and expense, net primarily includes the effects of changes in exchange rates on monetary assets and liabilities for subsidiaries where we have adopted highly inflationary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0350"/>
                <wp:effectExtent l="0" t="0" r="0" b="0"/>
                <wp:wrapNone/>
                <wp:docPr id="21" name="Frame2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80" w:after="283"/>
        <w:jc w:val="left"/>
        <w:rPr/>
      </w:pPr>
      <w:r>
        <w:rPr/>
      </w:r>
    </w:p>
    <w:tbl>
      <w:tblPr>
        <w:tblW w:w="7509" w:type="dxa"/>
        <w:jc w:val="left"/>
        <w:tblInd w:w="0" w:type="dxa"/>
        <w:tblLayout w:type="fixed"/>
        <w:tblCellMar>
          <w:top w:w="28" w:type="dxa"/>
          <w:left w:w="28" w:type="dxa"/>
          <w:bottom w:w="28" w:type="dxa"/>
          <w:right w:w="28" w:type="dxa"/>
        </w:tblCellMar>
      </w:tblPr>
      <w:tblGrid>
        <w:gridCol w:w="1297"/>
        <w:gridCol w:w="1141"/>
        <w:gridCol w:w="1147"/>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IPC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Promotion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Selling and General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(Income) and Expense, net</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Other (income) and expense, net primarily includes the effects of changes in exchange rates on monetary assets and liabilities for subsidiaries where we have adopted highly inflationary accounting.</w:t>
      </w:r>
    </w:p>
    <w:p>
      <w:pPr>
        <w:pStyle w:val="TextBody"/>
        <w:bidi w:val="0"/>
        <w:spacing w:lineRule="auto" w:line="288" w:before="180" w:after="283"/>
        <w:ind w:left="0" w:right="0" w:hanging="360"/>
        <w:jc w:val="left"/>
        <w:rPr>
          <w:rFonts w:ascii="Arial;sans-serif" w:hAnsi="Arial;sans-serif"/>
          <w:b w:val="false"/>
          <w:color w:val="000000"/>
          <w:sz w:val="20"/>
          <w:u w:val="single"/>
        </w:rPr>
      </w:pPr>
      <w:r>
        <w:rPr>
          <w:rFonts w:ascii="Arial;sans-serif" w:hAnsi="Arial;sans-serif"/>
          <w:b w:val="false"/>
          <w:color w:val="000000"/>
          <w:sz w:val="20"/>
          <w:u w:val="single"/>
        </w:rPr>
        <w:t>Depreciation and amortization expense by segment:</w:t>
      </w:r>
    </w:p>
    <w:tbl>
      <w:tblPr>
        <w:tblW w:w="8921" w:type="dxa"/>
        <w:jc w:val="left"/>
        <w:tblInd w:w="0" w:type="dxa"/>
        <w:tblLayout w:type="fixed"/>
        <w:tblCellMar>
          <w:top w:w="28" w:type="dxa"/>
          <w:left w:w="28" w:type="dxa"/>
          <w:bottom w:w="28" w:type="dxa"/>
          <w:right w:w="28" w:type="dxa"/>
        </w:tblCellMar>
      </w:tblPr>
      <w:tblGrid>
        <w:gridCol w:w="1566"/>
        <w:gridCol w:w="1381"/>
        <w:gridCol w:w="1417"/>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Excludes discontinued operations. See Note 3 for depreciation and amortization of discontinued operations.</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Capital spending by segment:</w:t>
      </w:r>
    </w:p>
    <w:tbl>
      <w:tblPr>
        <w:tblW w:w="7692" w:type="dxa"/>
        <w:jc w:val="left"/>
        <w:tblInd w:w="0" w:type="dxa"/>
        <w:tblLayout w:type="fixed"/>
        <w:tblCellMar>
          <w:top w:w="28" w:type="dxa"/>
          <w:left w:w="28" w:type="dxa"/>
          <w:bottom w:w="28" w:type="dxa"/>
          <w:right w:w="28" w:type="dxa"/>
        </w:tblCellMar>
      </w:tblPr>
      <w:tblGrid>
        <w:gridCol w:w="1124"/>
        <w:gridCol w:w="992"/>
        <w:gridCol w:w="101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Segment Capital Spending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(a)    Excludes discontinued operations. See Note 3 for capital spending of discontinued operations. </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Sales of Principal Products:</w:t>
      </w:r>
    </w:p>
    <w:tbl>
      <w:tblPr>
        <w:tblW w:w="7121" w:type="dxa"/>
        <w:jc w:val="left"/>
        <w:tblInd w:w="0" w:type="dxa"/>
        <w:tblLayout w:type="fixed"/>
        <w:tblCellMar>
          <w:top w:w="28" w:type="dxa"/>
          <w:left w:w="28" w:type="dxa"/>
          <w:bottom w:w="28" w:type="dxa"/>
          <w:right w:w="28" w:type="dxa"/>
        </w:tblCellMar>
      </w:tblPr>
      <w:tblGrid>
        <w:gridCol w:w="690"/>
        <w:gridCol w:w="604"/>
        <w:gridCol w:w="610"/>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Baby and Child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Family 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Adult 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Feminine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4,189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8,352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0350"/>
                <wp:effectExtent l="0" t="0" r="0" b="0"/>
                <wp:wrapNone/>
                <wp:docPr id="22" name="Frame2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Note 10.    Supplemental Balance Sheet Data</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following schedule presents a summary of inventories by major class:</w:t>
      </w:r>
    </w:p>
    <w:tbl>
      <w:tblPr>
        <w:tblW w:w="10205" w:type="dxa"/>
        <w:jc w:val="left"/>
        <w:tblInd w:w="0" w:type="dxa"/>
        <w:tblLayout w:type="fixed"/>
        <w:tblCellMar>
          <w:top w:w="28" w:type="dxa"/>
          <w:left w:w="28" w:type="dxa"/>
          <w:bottom w:w="28" w:type="dxa"/>
          <w:right w:w="28" w:type="dxa"/>
        </w:tblCellMar>
      </w:tblPr>
      <w:tblGrid>
        <w:gridCol w:w="1071"/>
        <w:gridCol w:w="940"/>
        <w:gridCol w:w="879"/>
        <w:gridCol w:w="109"/>
        <w:gridCol w:w="109"/>
        <w:gridCol w:w="109"/>
        <w:gridCol w:w="211"/>
        <w:gridCol w:w="481"/>
        <w:gridCol w:w="109"/>
        <w:gridCol w:w="109"/>
        <w:gridCol w:w="109"/>
        <w:gridCol w:w="109"/>
        <w:gridCol w:w="233"/>
        <w:gridCol w:w="532"/>
        <w:gridCol w:w="121"/>
        <w:gridCol w:w="109"/>
        <w:gridCol w:w="109"/>
        <w:gridCol w:w="109"/>
        <w:gridCol w:w="211"/>
        <w:gridCol w:w="646"/>
        <w:gridCol w:w="109"/>
        <w:gridCol w:w="109"/>
        <w:gridCol w:w="109"/>
        <w:gridCol w:w="109"/>
        <w:gridCol w:w="211"/>
        <w:gridCol w:w="481"/>
        <w:gridCol w:w="109"/>
        <w:gridCol w:w="109"/>
        <w:gridCol w:w="109"/>
        <w:gridCol w:w="109"/>
        <w:gridCol w:w="233"/>
        <w:gridCol w:w="532"/>
        <w:gridCol w:w="121"/>
        <w:gridCol w:w="109"/>
        <w:gridCol w:w="109"/>
        <w:gridCol w:w="109"/>
        <w:gridCol w:w="211"/>
        <w:gridCol w:w="646"/>
        <w:gridCol w:w="156"/>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LIFO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Non-LIFO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LIFO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Non-LIFO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477</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977</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of FIFO or weighted-average cost over LIFO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977</w:t>
            </w: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Inventories are valued at the lower of cost or net realizable value, determined on the FIFO or weighted-average cost methods, and at the lower of cost or market, determined on the LIFO cost method.</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The following schedule presents a summary of property, plant and equipment, net: </w:t>
      </w:r>
    </w:p>
    <w:tbl>
      <w:tblPr>
        <w:tblW w:w="6262" w:type="dxa"/>
        <w:jc w:val="left"/>
        <w:tblInd w:w="0" w:type="dxa"/>
        <w:tblLayout w:type="fixed"/>
        <w:tblCellMar>
          <w:top w:w="28" w:type="dxa"/>
          <w:left w:w="28" w:type="dxa"/>
          <w:bottom w:w="28" w:type="dxa"/>
          <w:right w:w="28" w:type="dxa"/>
        </w:tblCellMar>
      </w:tblPr>
      <w:tblGrid>
        <w:gridCol w:w="1016"/>
        <w:gridCol w:w="894"/>
        <w:gridCol w:w="909"/>
        <w:gridCol w:w="109"/>
        <w:gridCol w:w="109"/>
        <w:gridCol w:w="109"/>
        <w:gridCol w:w="255"/>
        <w:gridCol w:w="783"/>
        <w:gridCol w:w="132"/>
        <w:gridCol w:w="109"/>
        <w:gridCol w:w="109"/>
        <w:gridCol w:w="109"/>
        <w:gridCol w:w="338"/>
        <w:gridCol w:w="1035"/>
        <w:gridCol w:w="246"/>
      </w:tblGrid>
      <w:tr>
        <w:trPr/>
        <w:tc>
          <w:tcPr>
            <w:tcW w:w="101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12,873</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16,841</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16,509 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(9,893)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6,948</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Supplier Finance Program</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We have a supplier finance program managed through two global financial institutions under which we agree to pay the financial institutions the stated amount of confirmed invoices from our participating suppliers on the invoice due date. We, or the global financial institutions, may terminate our agreements at any time upon 30 days written notice. The global financial institutions may terminate our agreements at any time upon three days written notice in the event there are insufficient funds available for disbursement. We do not provide any forms of guarantees under these agreements. Supplier participation in the program is solely up to the supplier, and the participating suppliers negotiate their arrangements directly with the global financial institutions. We have no economic interest in a supplier’s decision to participate in the program, and their participation has no bearing on our payment terms or amounts due. The payment terms that we have with our suppliers under this program generally range from 75 to 180 days and are considered commercially reasonable. The outstanding amount related to the suppliers participating in this program was $1.1 billion as of June 30, 2026 and December 31, 2025, of which $186 and $184, respectively, are reported as discontinued operations. Amounts are recorded within Trade accounts payable and Current liabilities of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pPr>
      <w:r>
        <w:rPr>
          <w:rFonts w:ascii="Arial;sans-serif" w:hAnsi="Arial;sans-serif"/>
          <w:b/>
          <w:color w:val="000000"/>
          <w:sz w:val="20"/>
        </w:rPr>
        <w:t>Note 11.</w:t>
      </w:r>
      <w:r>
        <w:rPr>
          <w:color w:val="000000"/>
        </w:rPr>
        <w:t>    </w:t>
      </w:r>
      <w:r>
        <w:rPr>
          <w:rFonts w:ascii="Arial;sans-serif" w:hAnsi="Arial;sans-serif"/>
          <w:b/>
          <w:color w:val="000000"/>
          <w:sz w:val="20"/>
        </w:rPr>
        <w:t>Subsequent Events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On July 1, 2026, all consultation requirements and customary closing conditions set forth in the Purchase Agreement were satisfied and the IFP Transaction was completed for a cash purchase price of approximately $1.3 billion, subject to certain post-closing adjustments. A portion of the cash proceeds is expected to be attributed to a long-term license granted to the Joint Venture for the use of certain of Kimberly-Clark’s global brands, patents, and know-how in manufacturing. We also retained a 49% equity interest in the Joint Venture, with an initial estimated fair value of approximately $1.2 billion.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Based on preliminary estimates, we expect to recognize a pre-tax gain of more than $1.0 billion within our results from discontinued operations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0350"/>
                <wp:effectExtent l="0" t="0" r="0" b="0"/>
                <wp:wrapNone/>
                <wp:docPr id="23" name="Frame2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288" w:before="60" w:after="283"/>
        <w:jc w:val="both"/>
        <w:rPr/>
      </w:pPr>
      <w:r>
        <w:rPr>
          <w:rFonts w:ascii="Arial;sans-serif" w:hAnsi="Arial;sans-serif"/>
          <w:b w:val="false"/>
          <w:color w:val="000000"/>
          <w:sz w:val="20"/>
        </w:rPr>
        <w:t xml:space="preserve">This Management's Discussion and Analysis ("MD&amp;A") of Financial Condition and Results of Operations is intended to provide investors with an understanding of our recent performance, financial condition, cash flows and future prospects. The following MD&amp;A should be read in conjunction with our Annual Report on Form 10-K for the year ended December 31, 2025 and the Unaudited Interim Condensed Consolidated Financial Statements and related notes contained in this Quarterly Report on Form 10-Q. </w:t>
      </w:r>
      <w:r>
        <w:rPr>
          <w:rFonts w:ascii="Arial;sans-serif" w:hAnsi="Arial;sans-serif"/>
          <w:b w:val="false"/>
          <w:color w:val="000000"/>
          <w:sz w:val="20"/>
          <w:shd w:fill="FFFFFF" w:val="clear"/>
        </w:rPr>
        <w:t xml:space="preserve">Our analysis compares results for the </w:t>
      </w:r>
      <w:r>
        <w:rPr>
          <w:rFonts w:ascii="Arial;sans-serif" w:hAnsi="Arial;sans-serif"/>
          <w:b w:val="false"/>
          <w:color w:val="000000"/>
          <w:sz w:val="20"/>
        </w:rPr>
        <w:t>three and six months ended June 30, 2026 to the same periods in 2025. As discussed in the Notes to the Unaudited Interim Condensed Consolidated Financial Statements, the results and related assets and liabilities of the IFP Business are reported as discontinued operations. As a result, unless specifically stated, all discussions included below reflect continuing operations for all periods presented. Any reference to "N.M." indicates the calculation is not meaningful. Amounts are reported in millions of dollars, except per share amounts, unless otherwise noted. The following will be discussed and analyzed: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Overview of Business and Recent Developments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20"/>
          <w:shd w:fill="FFFFFF" w:val="clear"/>
        </w:rPr>
        <w:t>Results of Operations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20"/>
          <w:shd w:fill="FFFFFF" w:val="clear"/>
        </w:rPr>
        <w:t>Liquidity and Capital Resources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Throughout this MD&amp;A, we refer to financial measures that have not been calculated in accordance with accounting principles generally accepted in the U.S. ("GAAP"), and are therefore referred to as non-GAAP financial measures. We believe these measures provide our investors with additional information about our underlying results and trends, as well as insight to some of the financial measures used to evaluate management. For additional information and reconciliations to the most closely comparable financial measures presented in our Unaudited Interim Condensed Consolidated Financial Statements, which are calculated in accordance with GAAP, see "Summary of Non-GAAP Financial Measures" below.</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Overview of Business and Recent Developments</w:t>
      </w:r>
    </w:p>
    <w:p>
      <w:pPr>
        <w:pStyle w:val="TextBody"/>
        <w:bidi w:val="0"/>
        <w:spacing w:lineRule="auto" w:line="288" w:before="60" w:after="283"/>
        <w:jc w:val="both"/>
        <w:rPr/>
      </w:pPr>
      <w:r>
        <w:rPr>
          <w:rFonts w:ascii="Arial;sans-serif" w:hAnsi="Arial;sans-serif"/>
          <w:b w:val="false"/>
          <w:color w:val="000000"/>
          <w:sz w:val="20"/>
          <w:shd w:fill="FFFFFF" w:val="clear"/>
        </w:rPr>
        <w:t xml:space="preserve">We are a global company focused on delivering products and solutions that provide better care for a better world, </w:t>
      </w:r>
      <w:r>
        <w:rPr>
          <w:rFonts w:ascii="Arial;sans-serif" w:hAnsi="Arial;sans-serif"/>
          <w:b w:val="false"/>
          <w:color w:val="000000"/>
          <w:sz w:val="20"/>
        </w:rPr>
        <w:t xml:space="preserve">with manufacturing facilities in 30 countries, including our equity affiliates, and products sold in more than 175 countries and territories. Our products are sold under well-known brands such as Kleenex, Scott, Huggies, Pull-Ups, Kotex and Depend. </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China Diapers Social Media Disruption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During the second quarter of 2026, false allegations regarding the quality of certain diaper brands in the China market emerged and were carried across social media channels. Independent testing conducted by a government-certified third party confirmed the quality and safety of our products, refuting the false allegations. While we are effectively navigating the situation, the impact from the spread of false claims across social media significantly impacted our diaper sales in China in the second quarter of 2026 and is expected to further impact sales and profits in the near term.</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Conflict in the Middle East</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Ongoing geopolitical conflicts in the Middle East have led to disruptions in global energy supplies and volatility in global energy prices, including the prices for certain raw materials that are principally derived from petroleum, which may contribute to inflationary pressures, disrupt global supply chains and adversely impact consumer spending patterns. Based on the current market environment and assuming oil prices remain at current levels for the remainder of the year, we estimate incremental input costs of approximately $150 (prior to consideration of mitigation actions) during the remainder of 2026. We are continuing to evaluate the evolving macroeconomic environment and our ability to mitigate the impact on our business, consolidated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0350"/>
                <wp:effectExtent l="0" t="0" r="0" b="0"/>
                <wp:wrapNone/>
                <wp:docPr id="24" name="Frame2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Pending Acquisition of Kenvue, Inc.</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 par value $0.01 per share, issued and outstanding at the close of the Kenvue Acquisition (subject to certain provisions within the Merger Agreement) will be converted into the right to receive (i) 0.14625 shares of Kimberly-Clark common stock, par value $1.25 per share (the "Stock Consideration"), plus (ii) $3.50 in cash (the "Cash Consideration" and, together with the Stock Consideration, the "Merger Consideration"). In total, we expect approximately 280 million shares of common stock to be issued and approximately $6.7 billion to be paid for the Merger Consideration. The Cash Consideration is expected to be funded through a combination of cash on hand, proceeds from new debt issuance, and proceeds from the IFP Transaction (as defined below). The actual value of the transaction will fluctuate based upon changes in the price of Kimberly-Clark common stock and the number of shares of Kenvue common stock outstanding at the time of closing.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and six months ended June 30, 2026, we incurred $109 and $157, respectively, of acquisition-related costs in connection with the Kenvue Acquisition, which are included in Marketing, research and general expenses. See Item 1, Note 4 to the Unaudited Interim Condensed Consolidated Financial Statements for further details.</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International Family Care and Professional ("IFP") Transaction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On June 5, 2025, we announced that the Company will form a joint venture with Suzano S.A. ("Suzano") and Suzano International Holding B.V., a wholly-owned subsidiary of Suzano ("Buyer"), comprised of substantially all the operations of the Company's former IFP segment (the "IFP Business"). At the time of closing, Buyer will acquire a 51% interest in the joint venture for a purchase price of approximately $1.7 billion, subject to certain closing adjustments set forth in the Equity and Asset Purchase Agreement (the "Purchase Agreement"), and we will retain a 49% equity interest (the "IFP Transaction"). As a result, the results of operations and applicable assets and liabilities of the IFP Business are reported as discontinued operations in the Company's financial statements for all periods presented. On July 1, 2026, subsequent to the quarter ended June 30, 2026, all consultation requirements and customary closing conditions set forth in the Purchase Agreement were satisfied and the IFP Transaction was completed. See Item 1, Note 1, Note 3 and Note 11 to the Unaudited Interim Condensed Consolidated Financial Statements for further details.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a result of the IFP Transaction discussed above, the Company's continuing operations are now organized into two reportable segments defined by geographic region: North America ("NA") and International Personal Care ("IPC"). The results of the IFP Business are excluded from segment results for all periods presented. Segments are described in greater detail in Item 1, Note 9 to the Unaudited Interim Condensed Consolidated Financial Statements.</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 xml:space="preserve">2024 Transformation Initiative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2024 Transformation Initiative is designed to sharpen our strategic focus through a new operating model and strategy that leverages three synergistic pillars: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Accelerating pioneering innovation to capture significant growth available in our product categories by investing in science-based and proprietary technology to solve unmet and evolving consumer needs, and delivering breakthrough storytelling to drive category participation and brand love;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Optimizing our margin structure to deliver superior consumer propositions at every rung of the good, better, best ladder, and implement initiatives and deploy technology and data analytics designed to create a fast, adaptable, integrated supply chain with greater visibility that can deliver continuous improvement;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Wiring our organization for growth to drive agility, speed, and focused execution that extends our competitive advantages further into the future.</w:t>
      </w:r>
    </w:p>
    <w:p>
      <w:pPr>
        <w:pStyle w:val="TextBody"/>
        <w:bidi w:val="0"/>
        <w:spacing w:lineRule="auto" w:line="288" w:before="180" w:after="283"/>
        <w:jc w:val="both"/>
        <w:rPr/>
      </w:pPr>
      <w:r>
        <w:rPr>
          <w:rFonts w:ascii="Arial;sans-serif" w:hAnsi="Arial;sans-serif"/>
          <w:b w:val="false"/>
          <w:color w:val="000000"/>
          <w:sz w:val="20"/>
        </w:rPr>
        <w:t>The transformation is expected to impact our organization in all major geographies, and workforce reductions are expected to be in the range of 4%</w:t>
      </w:r>
      <w:r>
        <w:rPr>
          <w:color w:val="EE2724"/>
        </w:rPr>
        <w:t xml:space="preserve"> </w:t>
      </w:r>
      <w:r>
        <w:rPr>
          <w:rFonts w:ascii="Arial;sans-serif" w:hAnsi="Arial;sans-serif"/>
          <w:b w:val="false"/>
          <w:color w:val="000000"/>
          <w:sz w:val="20"/>
        </w:rPr>
        <w:t xml:space="preserve">to 5%. Certain actions under the 2024 Transformation Initiative are being finalized for implementation, and accounting for such actions will commence when the actions are authorized for execution. During the second quarter of 2026, our Board of Directors approved an extension of the 2024 Transformation Initiative through the end of 2028. Total pre-tax savings are expected to be $3.0 billion in gross productivity; inclusive of input cost and manufacturing cost savings, and $200 in selling, general and administrative expenses. Total pre-tax costs are anticipated to be approximately $1.5 billion, with cash costs expected to be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0350"/>
                <wp:effectExtent l="0" t="0" r="0" b="0"/>
                <wp:wrapNone/>
                <wp:docPr id="25" name="Frame2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60% of that amount, primarily related to workforce reductions and other program costs. Expected non-cash charges are primarily related to incremental depreciation and asset write-offs, including losses associated with the expected exit of certain markets. For the three months ended June 30, 2026 and 2025, total 2024 Transformation Initiative charges were $54 pre-tax ($40 after-tax) and $122 pre-tax ($95 after-tax), respectively. For the six months ended June 30, 2026 and 2025, total 2024 Transformation Initiative charges were $105 pre-tax ($72 after-tax), and $199 pre-tax ($172 after-tax), respectively. Through June 30, 2026, cumulative pre-tax charges for the 2024 Transformation Initiative were $913 ($706 after-tax), and approximately 95% of the total expected selling, general and administrative expense savings have been realized or approved for action program to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Consolidated Results</w:t>
      </w:r>
    </w:p>
    <w:p>
      <w:pPr>
        <w:pStyle w:val="TextBody"/>
        <w:bidi w:val="0"/>
        <w:spacing w:lineRule="auto" w:line="288" w:before="100" w:after="283"/>
        <w:jc w:val="both"/>
        <w:rPr>
          <w:rFonts w:ascii="Arial;sans-serif" w:hAnsi="Arial;sans-serif"/>
          <w:b w:val="false"/>
          <w:color w:val="000000"/>
          <w:sz w:val="20"/>
          <w:u w:val="single"/>
        </w:rPr>
      </w:pPr>
      <w:r>
        <w:rPr>
          <w:rFonts w:ascii="Arial;sans-serif" w:hAnsi="Arial;sans-serif"/>
          <w:b w:val="false"/>
          <w:color w:val="000000"/>
          <w:sz w:val="20"/>
          <w:u w:val="single"/>
        </w:rPr>
        <w:t>Summary of Results</w:t>
      </w:r>
    </w:p>
    <w:tbl>
      <w:tblPr>
        <w:tblW w:w="10205" w:type="dxa"/>
        <w:jc w:val="left"/>
        <w:tblInd w:w="0" w:type="dxa"/>
        <w:tblLayout w:type="fixed"/>
        <w:tblCellMar>
          <w:top w:w="28" w:type="dxa"/>
          <w:left w:w="28" w:type="dxa"/>
          <w:bottom w:w="28" w:type="dxa"/>
          <w:right w:w="28" w:type="dxa"/>
        </w:tblCellMar>
      </w:tblPr>
      <w:tblGrid>
        <w:gridCol w:w="1222"/>
        <w:gridCol w:w="750"/>
        <w:gridCol w:w="611"/>
        <w:gridCol w:w="109"/>
        <w:gridCol w:w="109"/>
        <w:gridCol w:w="109"/>
        <w:gridCol w:w="248"/>
        <w:gridCol w:w="293"/>
        <w:gridCol w:w="293"/>
        <w:gridCol w:w="113"/>
        <w:gridCol w:w="113"/>
        <w:gridCol w:w="113"/>
        <w:gridCol w:w="248"/>
        <w:gridCol w:w="293"/>
        <w:gridCol w:w="293"/>
        <w:gridCol w:w="113"/>
        <w:gridCol w:w="113"/>
        <w:gridCol w:w="113"/>
        <w:gridCol w:w="328"/>
        <w:gridCol w:w="330"/>
        <w:gridCol w:w="520"/>
        <w:gridCol w:w="109"/>
        <w:gridCol w:w="109"/>
        <w:gridCol w:w="109"/>
        <w:gridCol w:w="230"/>
        <w:gridCol w:w="295"/>
        <w:gridCol w:w="291"/>
        <w:gridCol w:w="111"/>
        <w:gridCol w:w="111"/>
        <w:gridCol w:w="111"/>
        <w:gridCol w:w="230"/>
        <w:gridCol w:w="295"/>
        <w:gridCol w:w="291"/>
        <w:gridCol w:w="111"/>
        <w:gridCol w:w="111"/>
        <w:gridCol w:w="111"/>
        <w:gridCol w:w="276"/>
        <w:gridCol w:w="277"/>
        <w:gridCol w:w="593"/>
      </w:tblGrid>
      <w:tr>
        <w:trPr/>
        <w:tc>
          <w:tcPr>
            <w:tcW w:w="122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4,189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8,352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1,603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3,137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1,386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from Discontinued Operations,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283"/>
        <w:jc w:val="left"/>
        <w:rPr/>
      </w:pPr>
      <w:r>
        <w:rPr/>
      </w:r>
    </w:p>
    <w:p>
      <w:pPr>
        <w:pStyle w:val="TextBody"/>
        <w:bidi w:val="0"/>
        <w:spacing w:lineRule="auto" w:line="288" w:before="100" w:after="283"/>
        <w:jc w:val="left"/>
        <w:rPr>
          <w:rFonts w:ascii="Arial;sans-serif" w:hAnsi="Arial;sans-serif"/>
          <w:b w:val="false"/>
          <w:color w:val="000000"/>
          <w:sz w:val="20"/>
          <w:u w:val="single"/>
        </w:rPr>
      </w:pPr>
      <w:r>
        <w:rPr>
          <w:rFonts w:ascii="Arial;sans-serif" w:hAnsi="Arial;sans-serif"/>
          <w:b w:val="false"/>
          <w:color w:val="000000"/>
          <w:sz w:val="20"/>
          <w:u w:val="single"/>
        </w:rPr>
        <w:t>Adjusted Results - Continuing Operations</w:t>
      </w:r>
    </w:p>
    <w:tbl>
      <w:tblPr>
        <w:tblW w:w="10205" w:type="dxa"/>
        <w:jc w:val="left"/>
        <w:tblInd w:w="0" w:type="dxa"/>
        <w:tblLayout w:type="fixed"/>
        <w:tblCellMar>
          <w:top w:w="28" w:type="dxa"/>
          <w:left w:w="28" w:type="dxa"/>
          <w:bottom w:w="28" w:type="dxa"/>
          <w:right w:w="28" w:type="dxa"/>
        </w:tblCellMar>
      </w:tblPr>
      <w:tblGrid>
        <w:gridCol w:w="928"/>
        <w:gridCol w:w="798"/>
        <w:gridCol w:w="804"/>
        <w:gridCol w:w="109"/>
        <w:gridCol w:w="109"/>
        <w:gridCol w:w="109"/>
        <w:gridCol w:w="272"/>
        <w:gridCol w:w="209"/>
        <w:gridCol w:w="425"/>
        <w:gridCol w:w="110"/>
        <w:gridCol w:w="110"/>
        <w:gridCol w:w="110"/>
        <w:gridCol w:w="272"/>
        <w:gridCol w:w="209"/>
        <w:gridCol w:w="425"/>
        <w:gridCol w:w="110"/>
        <w:gridCol w:w="110"/>
        <w:gridCol w:w="110"/>
        <w:gridCol w:w="270"/>
        <w:gridCol w:w="271"/>
        <w:gridCol w:w="520"/>
        <w:gridCol w:w="109"/>
        <w:gridCol w:w="109"/>
        <w:gridCol w:w="109"/>
        <w:gridCol w:w="272"/>
        <w:gridCol w:w="209"/>
        <w:gridCol w:w="425"/>
        <w:gridCol w:w="109"/>
        <w:gridCol w:w="109"/>
        <w:gridCol w:w="109"/>
        <w:gridCol w:w="272"/>
        <w:gridCol w:w="209"/>
        <w:gridCol w:w="425"/>
        <w:gridCol w:w="109"/>
        <w:gridCol w:w="109"/>
        <w:gridCol w:w="109"/>
        <w:gridCol w:w="218"/>
        <w:gridCol w:w="218"/>
        <w:gridCol w:w="586"/>
      </w:tblGrid>
      <w:tr>
        <w:trPr/>
        <w:tc>
          <w:tcPr>
            <w:tcW w:w="92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Gross Profit</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Operating Profit</w:t>
            </w:r>
            <w:r>
              <w:rPr>
                <w:rFonts w:ascii="Arial;sans-serif" w:hAnsi="Arial;sans-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Earnings per Share</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Effective Tax Rate</w:t>
            </w:r>
            <w:r>
              <w:rPr>
                <w:rFonts w:ascii="Arial;sans-serif" w:hAnsi="Arial;sans-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21.1</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23.6</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Adjusted amounts are non-GAAP financial measures. See "Summary of Non-GAAP Financial Measures" below for reconciliations of our GAAP to Non-GAAP measures.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Net Sales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Drivers of the changes in net sales were:</w:t>
      </w:r>
    </w:p>
    <w:tbl>
      <w:tblPr>
        <w:tblW w:w="10205" w:type="dxa"/>
        <w:jc w:val="center"/>
        <w:tblInd w:w="0" w:type="dxa"/>
        <w:tblLayout w:type="fixed"/>
        <w:tblCellMar>
          <w:top w:w="28" w:type="dxa"/>
          <w:left w:w="28" w:type="dxa"/>
          <w:bottom w:w="28" w:type="dxa"/>
          <w:right w:w="28" w:type="dxa"/>
        </w:tblCellMar>
      </w:tblPr>
      <w:tblGrid>
        <w:gridCol w:w="477"/>
        <w:gridCol w:w="401"/>
        <w:gridCol w:w="405"/>
        <w:gridCol w:w="109"/>
        <w:gridCol w:w="109"/>
        <w:gridCol w:w="109"/>
        <w:gridCol w:w="235"/>
        <w:gridCol w:w="235"/>
        <w:gridCol w:w="236"/>
        <w:gridCol w:w="109"/>
        <w:gridCol w:w="109"/>
        <w:gridCol w:w="109"/>
        <w:gridCol w:w="217"/>
        <w:gridCol w:w="217"/>
        <w:gridCol w:w="219"/>
        <w:gridCol w:w="109"/>
        <w:gridCol w:w="109"/>
        <w:gridCol w:w="109"/>
        <w:gridCol w:w="197"/>
        <w:gridCol w:w="197"/>
        <w:gridCol w:w="199"/>
        <w:gridCol w:w="109"/>
        <w:gridCol w:w="109"/>
        <w:gridCol w:w="109"/>
        <w:gridCol w:w="527"/>
        <w:gridCol w:w="527"/>
        <w:gridCol w:w="528"/>
        <w:gridCol w:w="109"/>
        <w:gridCol w:w="109"/>
        <w:gridCol w:w="109"/>
        <w:gridCol w:w="415"/>
        <w:gridCol w:w="415"/>
        <w:gridCol w:w="416"/>
        <w:gridCol w:w="109"/>
        <w:gridCol w:w="109"/>
        <w:gridCol w:w="109"/>
        <w:gridCol w:w="189"/>
        <w:gridCol w:w="189"/>
        <w:gridCol w:w="190"/>
        <w:gridCol w:w="109"/>
        <w:gridCol w:w="109"/>
        <w:gridCol w:w="109"/>
        <w:gridCol w:w="264"/>
        <w:gridCol w:w="264"/>
        <w:gridCol w:w="265"/>
        <w:gridCol w:w="109"/>
        <w:gridCol w:w="109"/>
        <w:gridCol w:w="109"/>
        <w:gridCol w:w="165"/>
      </w:tblGrid>
      <w:tr>
        <w:trPr/>
        <w:tc>
          <w:tcPr>
            <w:tcW w:w="47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i/>
                <w:color w:val="000000"/>
                <w:sz w:val="16"/>
              </w:rPr>
            </w:pPr>
            <w:r>
              <w:rPr>
                <w:rFonts w:ascii="Arial;sans-serif" w:hAnsi="Arial;sans-serif"/>
                <w:b/>
                <w:i/>
                <w:color w:val="000000"/>
                <w:sz w:val="16"/>
              </w:rPr>
              <w:t xml:space="preserve">Percent Change in Net 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Mix/Other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Divestitures and Business Exits</w:t>
            </w:r>
            <w:r>
              <w:rPr>
                <w:rFonts w:ascii="Arial;sans-serif" w:hAnsi="Arial;sans-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Organic</w:t>
            </w:r>
            <w:r>
              <w:rPr>
                <w:rFonts w:ascii="Arial;sans-serif" w:hAnsi="Arial;sans-serif"/>
                <w:b/>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Total may not sum across due to rounding.</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(b)    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(c)    Impact of the exit of the Company's private label diaper business in the United States and other exited businesses and markets in conjunction with the 2024 Transformation Initiative.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0350"/>
                <wp:effectExtent l="0" t="0" r="0" b="0"/>
                <wp:wrapNone/>
                <wp:docPr id="26" name="Frame2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Net sales of $4.2 billion for the three months ended June 30, 2026 increased 0.6% primarily driven by favorable currency impacts, while organic sales growth was relatively flat compared to the prior year, including an approximately 50 basis point negative impact from the China social media disruption.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Net sales of $8.4 billion for the six months ended June 30, 2026 increased 1.6% primarily driven by organic sales growth and favorable currency impacts, partially offset by divestitures and business exits. Organic sales increased 1.2% primarily from volume gains of 1.3%.</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Gross and Operating Profits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Gross profit of $1.6 billion for the three months ended June 30, 2026 increased 10.1%, while gross margin of 38.3% increased 330 basis points. Gross margin in the current and prior year included approximately 50 basis points and 200 basis points, respectively, of charges related to the 2024 Transformation Initiative, primarily for incremental depreciation expense and asset write-offs. Excluding these charges, adjusted gross margin increased 190 basis points to 38.8%. The increase was primarily due to one-time tariff refunds and gross productivity savings from integrated margin management of approximately $120, partially offset by unfavorable pricing net of cost inflation.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Gross profit of $3.1 billion for the six months ended June 30, 2026 increased 5.8%, while gross margin of 37.6% increased 150 basis points. Gross margin in the current and prior year included approximately 80 basis points and 160 basis points, respectively, of charges related to the 2024 Transformation Initiative, primarily for incremental depreciation expense and asset write-offs. Excluding these charges, adjusted gross margin increased 60 basis points to 38.3%. The increase was primarily due to one-time tariff refunds and gross productivity savings from integrated margin management of approximately $235, partially offset by supply chain related investments and unfavorable pricing net of cost inflation.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Operating profit for the three months ended June 30, 2026 was $633 compared to $592 in the prior year. Results included charges related to the 2024 Transformation Initiative of $54 and $121 for the three months ended June 30, 2026 and 2025, respectively. Results in current quarter also included charges of $109 related to the Kenvue Acquisition, and a benefit of $39 related to Brazil business tax credits.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Operating profit for the six months ended June 30, 2026 was $1.4 billion compared to $1.2 billion in the prior year. Results included charges related to the 2024 Transformation Initiative of $105 and $196 for the six months ended June 30, 2026 and 2025, respectively. Results in the current year also included charges of $157 related to the Kenvue Acquisition, a benefit of $120 related to the settlement of insurance claims from a previous acquisition and a benefit of $39 related to Brazil business tax credits.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Excluding these items, adjusted operating profit for the three and six months ended June 30, 2026 was $757 and $1.5 billion, respectively, compared to $713 and $1.4 billion in the prior year.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Drivers of the changes in adjusted operating profit were: </w:t>
      </w:r>
    </w:p>
    <w:tbl>
      <w:tblPr>
        <w:tblW w:w="10205" w:type="dxa"/>
        <w:jc w:val="left"/>
        <w:tblInd w:w="0" w:type="dxa"/>
        <w:tblLayout w:type="fixed"/>
        <w:tblCellMar>
          <w:top w:w="28" w:type="dxa"/>
          <w:left w:w="28" w:type="dxa"/>
          <w:bottom w:w="28" w:type="dxa"/>
          <w:right w:w="28" w:type="dxa"/>
        </w:tblCellMar>
      </w:tblPr>
      <w:tblGrid>
        <w:gridCol w:w="650"/>
        <w:gridCol w:w="570"/>
        <w:gridCol w:w="574"/>
        <w:gridCol w:w="109"/>
        <w:gridCol w:w="109"/>
        <w:gridCol w:w="109"/>
        <w:gridCol w:w="235"/>
        <w:gridCol w:w="235"/>
        <w:gridCol w:w="236"/>
        <w:gridCol w:w="109"/>
        <w:gridCol w:w="109"/>
        <w:gridCol w:w="109"/>
        <w:gridCol w:w="198"/>
        <w:gridCol w:w="198"/>
        <w:gridCol w:w="199"/>
        <w:gridCol w:w="109"/>
        <w:gridCol w:w="109"/>
        <w:gridCol w:w="109"/>
        <w:gridCol w:w="239"/>
        <w:gridCol w:w="239"/>
        <w:gridCol w:w="240"/>
        <w:gridCol w:w="109"/>
        <w:gridCol w:w="109"/>
        <w:gridCol w:w="109"/>
        <w:gridCol w:w="539"/>
        <w:gridCol w:w="539"/>
        <w:gridCol w:w="541"/>
        <w:gridCol w:w="109"/>
        <w:gridCol w:w="109"/>
        <w:gridCol w:w="109"/>
        <w:gridCol w:w="416"/>
        <w:gridCol w:w="416"/>
        <w:gridCol w:w="417"/>
        <w:gridCol w:w="109"/>
        <w:gridCol w:w="109"/>
        <w:gridCol w:w="109"/>
        <w:gridCol w:w="204"/>
        <w:gridCol w:w="204"/>
        <w:gridCol w:w="205"/>
        <w:gridCol w:w="109"/>
        <w:gridCol w:w="109"/>
        <w:gridCol w:w="109"/>
        <w:gridCol w:w="179"/>
        <w:gridCol w:w="179"/>
        <w:gridCol w:w="264"/>
      </w:tblGrid>
      <w:tr>
        <w:trPr/>
        <w:tc>
          <w:tcPr>
            <w:tcW w:w="65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i/>
                <w:color w:val="000000"/>
                <w:sz w:val="16"/>
              </w:rPr>
            </w:pPr>
            <w:r>
              <w:rPr>
                <w:rFonts w:ascii="Arial;sans-serif" w:hAnsi="Arial;sans-serif"/>
                <w:b/>
                <w:i/>
                <w:color w:val="000000"/>
                <w:sz w:val="16"/>
              </w:rPr>
              <w:t>Percent Change in Adjusted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Input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Other Manufacturing Costs</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Other</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rPr>
              <w:t>Total</w:t>
            </w:r>
            <w:r>
              <w:rPr>
                <w:rFonts w:ascii="Arial;sans-serif" w:hAnsi="Arial;sans-serif"/>
                <w:b/>
                <w:color w:val="000000"/>
                <w:sz w:val="10"/>
              </w:rPr>
              <w:t>(c)</w:t>
            </w:r>
          </w:p>
        </w:tc>
      </w:tr>
      <w:tr>
        <w:trPr/>
        <w:tc>
          <w:tcPr>
            <w:tcW w:w="1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6.2</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4.9</w:t>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Includes net impact of productivity initiatives, product and supply chain investments and other changes in cost of products sold.</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(b)    Includes impact of changes in product mix, marketing, research and general expenses and other (income) and expense, net.</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(c)    Adjusted Operating Profit is a non-GAAP financial measure. See "Summary of Non-GAAP Financial Measures" below for reconciliations of our GAAP to non-GAAP measures.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Adjusted operating profit for the three and six months ended June 30, 2026 increased 6.2% and 4.9%, respectively, driven by the increase in adjusted gross profit discussed above and favorable currency impacts. These gains were partially offset by impacts of approximately 210 basis points and 340 basis points for the three and six months ended June 30, 2026, respectively, from a combination of business exits and the China social media disruption.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Income from Continuing Operations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Income from Continuing Operations for the three months ended June 30, 2026 was $410 compared to $444 in the prior year, as the increase in operating profit drivers discussed above was more than offset by higher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0350"/>
                <wp:effectExtent l="0" t="0" r="0" b="0"/>
                <wp:wrapNone/>
                <wp:docPr id="27" name="Frame2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Income from Continuing Operations for the six months ended June 30, 2026 was $984 compared to $914 in the prior year, as the increase in operating profit drivers discussed above, coupled with higher income from equity companies, was partially offset by higher income tax expense.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share of net income of equity companies for the three and six months ended June 30, 2026 was $55 and $108, respectively, compared to $47 and $91 in the prior year. The increases for each period were primarily due to favorable currency impacts and pricing net of cost inflation, partially offset by higher general and administrative expenses.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effective tax rate for the three and six months ended June 30, 2026 was 37.9% and 30.3%, respectively, compared to 22.6% and 23.1% in the prior year. The adjusted effective tax rate for the three and six months ended June 30, 2026 was 21.1% and 23.6%, respectively, compared to 20.9% and 20.8% in the prior year. The increase was driven by the lapping of benefits from the resolution of certain tax matters in the first half of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Diluted earnings per share for the three months ended June 30, 2026 were $1.22 compared to $1.33 in the prior year, reflective of the decrease in income from continuing operations discussed above. Adjusted diluted earnings per share for the three months ended June 30, 2026 were $1.80, representing a 10.4% increase compared to the prior year, primarily driven by higher adjusted operating profit, lower net interest expense and higher income from equity companies.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Diluted earnings per share for the six months ended June 30, 2026 were $2.91 compared to $2.72 in the prior year, reflective of the increase in income from continuing operations discussed above. Adjusted diluted earnings per share for the six months ended June 30, 2026 were $3.40, representing a 4.6% increase compared to the prior year, driven by higher adjusted operating profit, lower net interest expense and higher income from equity companies, partially offset by a higher adjusted effective tax rate.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Income (Loss) from Discontinued Operations, Net of Income Taxes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Income (loss) from discontinued operations, net of income taxes for the three and six months ended June 30, 2026 was $(60) and $41, respectively, compared to $68 and $171 in the prior year. The decrease was driven by pre-tax separation costs of $72 and $104 for the three and six months ended June 30, 2026, respectively, compared to $33 in the prior year. Current year results also included net tax charges of $107 million related to the impacts from certain reorganization activities associated with the IFP Transaction. The incremental charges in the current year were partially offset by lower depreciation expense due to reporting requirements for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60350"/>
                <wp:effectExtent l="0" t="0" r="0" b="0"/>
                <wp:wrapNone/>
                <wp:docPr id="28" name="Frame2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Segment Results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Drivers of the changes in segment net sales and operating profit were:</w:t>
      </w:r>
    </w:p>
    <w:tbl>
      <w:tblPr>
        <w:tblW w:w="10205"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235"/>
        <w:gridCol w:w="235"/>
        <w:gridCol w:w="236"/>
        <w:gridCol w:w="109"/>
        <w:gridCol w:w="109"/>
        <w:gridCol w:w="109"/>
        <w:gridCol w:w="213"/>
        <w:gridCol w:w="213"/>
        <w:gridCol w:w="214"/>
        <w:gridCol w:w="109"/>
        <w:gridCol w:w="109"/>
        <w:gridCol w:w="109"/>
        <w:gridCol w:w="193"/>
        <w:gridCol w:w="193"/>
        <w:gridCol w:w="194"/>
        <w:gridCol w:w="109"/>
        <w:gridCol w:w="109"/>
        <w:gridCol w:w="109"/>
        <w:gridCol w:w="500"/>
        <w:gridCol w:w="500"/>
        <w:gridCol w:w="502"/>
        <w:gridCol w:w="109"/>
        <w:gridCol w:w="109"/>
        <w:gridCol w:w="109"/>
        <w:gridCol w:w="403"/>
        <w:gridCol w:w="403"/>
        <w:gridCol w:w="404"/>
        <w:gridCol w:w="109"/>
        <w:gridCol w:w="109"/>
        <w:gridCol w:w="109"/>
        <w:gridCol w:w="187"/>
        <w:gridCol w:w="187"/>
        <w:gridCol w:w="189"/>
        <w:gridCol w:w="109"/>
        <w:gridCol w:w="109"/>
        <w:gridCol w:w="109"/>
        <w:gridCol w:w="262"/>
        <w:gridCol w:w="262"/>
        <w:gridCol w:w="264"/>
        <w:gridCol w:w="109"/>
        <w:gridCol w:w="109"/>
        <w:gridCol w:w="109"/>
        <w:gridCol w:w="161"/>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i/>
                <w:color w:val="000000"/>
                <w:sz w:val="16"/>
              </w:rPr>
            </w:pPr>
            <w:r>
              <w:rPr>
                <w:rFonts w:ascii="Arial;sans-serif" w:hAnsi="Arial;sans-serif"/>
                <w:b/>
                <w:i/>
                <w:color w:val="000000"/>
                <w:sz w:val="16"/>
              </w:rPr>
              <w:t>Percent Change in Segment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Mix/Other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Divestitures and Business Exits</w:t>
            </w:r>
            <w:r>
              <w:rPr>
                <w:rFonts w:ascii="Arial;sans-serif" w:hAnsi="Arial;sans-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Organic</w:t>
            </w:r>
            <w:r>
              <w:rPr>
                <w:rFonts w:ascii="Arial;sans-serif" w:hAnsi="Arial;sans-serif"/>
                <w:b/>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0"/>
        <w:gridCol w:w="578"/>
        <w:gridCol w:w="582"/>
        <w:gridCol w:w="109"/>
        <w:gridCol w:w="109"/>
        <w:gridCol w:w="109"/>
        <w:gridCol w:w="235"/>
        <w:gridCol w:w="235"/>
        <w:gridCol w:w="236"/>
        <w:gridCol w:w="109"/>
        <w:gridCol w:w="109"/>
        <w:gridCol w:w="109"/>
        <w:gridCol w:w="199"/>
        <w:gridCol w:w="199"/>
        <w:gridCol w:w="200"/>
        <w:gridCol w:w="109"/>
        <w:gridCol w:w="109"/>
        <w:gridCol w:w="109"/>
        <w:gridCol w:w="241"/>
        <w:gridCol w:w="241"/>
        <w:gridCol w:w="242"/>
        <w:gridCol w:w="109"/>
        <w:gridCol w:w="109"/>
        <w:gridCol w:w="109"/>
        <w:gridCol w:w="544"/>
        <w:gridCol w:w="544"/>
        <w:gridCol w:w="545"/>
        <w:gridCol w:w="109"/>
        <w:gridCol w:w="109"/>
        <w:gridCol w:w="109"/>
        <w:gridCol w:w="419"/>
        <w:gridCol w:w="419"/>
        <w:gridCol w:w="420"/>
        <w:gridCol w:w="109"/>
        <w:gridCol w:w="109"/>
        <w:gridCol w:w="109"/>
        <w:gridCol w:w="204"/>
        <w:gridCol w:w="204"/>
        <w:gridCol w:w="205"/>
        <w:gridCol w:w="109"/>
        <w:gridCol w:w="109"/>
        <w:gridCol w:w="109"/>
        <w:gridCol w:w="162"/>
        <w:gridCol w:w="162"/>
        <w:gridCol w:w="240"/>
      </w:tblGrid>
      <w:tr>
        <w:trPr/>
        <w:tc>
          <w:tcPr>
            <w:tcW w:w="6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i/>
                <w:color w:val="000000"/>
                <w:sz w:val="16"/>
              </w:rPr>
            </w:pPr>
            <w:r>
              <w:rPr>
                <w:rFonts w:ascii="Arial;sans-serif" w:hAnsi="Arial;sans-serif"/>
                <w:b/>
                <w:i/>
                <w:color w:val="000000"/>
                <w:sz w:val="16"/>
              </w:rPr>
              <w:t>Percent Change in 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Input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Other Manufacturing Costs</w:t>
            </w:r>
            <w:r>
              <w:rPr>
                <w:rFonts w:ascii="Arial;sans-serif" w:hAnsi="Arial;sans-serif"/>
                <w:b/>
                <w:color w:val="000000"/>
                <w:sz w:val="1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Other</w:t>
            </w:r>
            <w:r>
              <w:rPr>
                <w:rFonts w:ascii="Arial;sans-serif" w:hAnsi="Arial;sans-serif"/>
                <w:b/>
                <w:color w:val="000000"/>
                <w:sz w:val="1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8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10.7</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w:t>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w:t>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12.5</w:t>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Total may not sum across due to rounding.</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(b)    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(c)    Impact of the exit of the Company's private label diaper business in the United States and other exited businesses and markets in conjunction with the 2024 Transformation Initiative.</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(d)    Includes net impact of productivity initiatives, product and supply chain investments and other changes in cost of products sold.</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(e)    Includes impact of changes in product mix, marketing, research and general expenses and other (income) and expense, net.</w:t>
      </w:r>
    </w:p>
    <w:p>
      <w:pPr>
        <w:pStyle w:val="TextBody"/>
        <w:bidi w:val="0"/>
        <w:spacing w:lineRule="auto" w:line="288" w:before="180" w:after="283"/>
        <w:ind w:left="0" w:right="0" w:hanging="360"/>
        <w:jc w:val="both"/>
        <w:rPr>
          <w:rFonts w:ascii="Arial;sans-serif" w:hAnsi="Arial;sans-serif"/>
          <w:b/>
          <w:color w:val="000000"/>
          <w:sz w:val="20"/>
        </w:rPr>
      </w:pPr>
      <w:r>
        <w:rPr>
          <w:rFonts w:ascii="Arial;sans-serif" w:hAnsi="Arial;sans-serif"/>
          <w:b/>
          <w:color w:val="000000"/>
          <w:sz w:val="20"/>
        </w:rPr>
        <w:t>North America</w:t>
      </w:r>
    </w:p>
    <w:tbl>
      <w:tblPr>
        <w:tblW w:w="9449"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211"/>
        <w:gridCol w:w="646"/>
        <w:gridCol w:w="109"/>
        <w:gridCol w:w="109"/>
        <w:gridCol w:w="109"/>
        <w:gridCol w:w="109"/>
        <w:gridCol w:w="211"/>
        <w:gridCol w:w="646"/>
        <w:gridCol w:w="109"/>
        <w:gridCol w:w="109"/>
        <w:gridCol w:w="109"/>
        <w:gridCol w:w="109"/>
        <w:gridCol w:w="270"/>
        <w:gridCol w:w="271"/>
        <w:gridCol w:w="520"/>
        <w:gridCol w:w="109"/>
        <w:gridCol w:w="109"/>
        <w:gridCol w:w="109"/>
        <w:gridCol w:w="211"/>
        <w:gridCol w:w="646"/>
        <w:gridCol w:w="109"/>
        <w:gridCol w:w="109"/>
        <w:gridCol w:w="109"/>
        <w:gridCol w:w="109"/>
        <w:gridCol w:w="211"/>
        <w:gridCol w:w="646"/>
        <w:gridCol w:w="109"/>
        <w:gridCol w:w="109"/>
        <w:gridCol w:w="109"/>
        <w:gridCol w:w="109"/>
        <w:gridCol w:w="248"/>
        <w:gridCol w:w="248"/>
        <w:gridCol w:w="58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Net sales of $2.7 billion for the three months ended June 30, 2026 decreased 1.2% driven by the exit of the private label diaper business in the US and a decrease in organic sales. Organic sales decreased 0.7%, primarily driven by changes in retail inventories of 1.0% and impacts from the fire at our Los Angeles distribution center of 0.8%. Net sales of $5.3 billion for the six months ended June 30, 2026 decreased 0.9%, as the exit of the private label diaper business in the US was partially offset by organic sales growth. Organic sales increased 0.5% driven by volume gains of 0.8%, primarily in Consumer Tissue and Professional categories, partially offset by lower pricing to drive sales of new product.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Operating profit for the three and six months ended June 30, 2026 of $725 and $1.3 billion increased 10.7% and 1.1%, respectively, driven by one-time tariff refunds and gross productivity savings, partially offset by impacts from business exits of 110 basis points and 310 basis points for the three and six months ended June 30, 2026, respectively, and incremental advertising spend.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0350"/>
                <wp:effectExtent l="0" t="0" r="0" b="0"/>
                <wp:wrapNone/>
                <wp:docPr id="29" name="Frame2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pPr>
      <w:r>
        <w:rPr>
          <w:rFonts w:ascii="Arial;sans-serif" w:hAnsi="Arial;sans-serif"/>
          <w:b/>
          <w:color w:val="000000"/>
          <w:sz w:val="20"/>
        </w:rPr>
        <w:t>International Personal Care</w:t>
      </w:r>
      <w:r>
        <w:rPr>
          <w:color w:val="000000"/>
        </w:rPr>
        <w:t xml:space="preserve"> </w:t>
      </w:r>
    </w:p>
    <w:tbl>
      <w:tblPr>
        <w:tblW w:w="9389"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211"/>
        <w:gridCol w:w="646"/>
        <w:gridCol w:w="109"/>
        <w:gridCol w:w="109"/>
        <w:gridCol w:w="109"/>
        <w:gridCol w:w="109"/>
        <w:gridCol w:w="211"/>
        <w:gridCol w:w="646"/>
        <w:gridCol w:w="109"/>
        <w:gridCol w:w="109"/>
        <w:gridCol w:w="109"/>
        <w:gridCol w:w="109"/>
        <w:gridCol w:w="218"/>
        <w:gridCol w:w="218"/>
        <w:gridCol w:w="520"/>
        <w:gridCol w:w="109"/>
        <w:gridCol w:w="109"/>
        <w:gridCol w:w="109"/>
        <w:gridCol w:w="211"/>
        <w:gridCol w:w="646"/>
        <w:gridCol w:w="109"/>
        <w:gridCol w:w="109"/>
        <w:gridCol w:w="109"/>
        <w:gridCol w:w="109"/>
        <w:gridCol w:w="211"/>
        <w:gridCol w:w="646"/>
        <w:gridCol w:w="109"/>
        <w:gridCol w:w="109"/>
        <w:gridCol w:w="109"/>
        <w:gridCol w:w="109"/>
        <w:gridCol w:w="270"/>
        <w:gridCol w:w="271"/>
        <w:gridCol w:w="58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Net sales of $1.5 billion for the three months ended June 30, 2026 increased 4.0% primarily driven by favorable currency impacts of 3.1% and organic sales growth of 1.0%. Organic sales growth, which included a 140 basis point headwind from the China social media disruption, was driven by volume plus mix gains of 1.2%, reflecting growth within multiple categories, namely diapers and pants. Net sales of $3.0 billion for the six months ended June 30, 2026 increased 6.5%, primarily driven by favorable currency impacts of 4.1% and organic sales growth of 2.5%. Organic sales growth was driven by volume and mix gains of 2.2% and 1.2%, respectively, partially offset by lower pricing.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Operating profit for the three and six months ended June 30, 2026 of $186 and $431, increased 2.2% and 12.5%, respectively. The increase for the three months ended June 30, 2026 was primarily driven by gross productivity savings and favorable currency impacts, partially offset by a 440 basis point impact from the China social media disruption. The increase for the six months ended June 30, 2026 was driven by gross productivity savings, favorable currency impacts and volume and mix led net sales growth, partially offset by unfavorable pricing net of cost inflation and supply chain related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As detailed in Item 1, Note 1 to the Unaudited Interim Condensed Consolidated Financial Statements, the Condensed Consolidated Statements of Cash Flows are presented on a consolidated basis for both continuing operations and discontinued operations. As a result, unless specifically stated, the following discussion reflects Kimberly Clark's consolidated results for all periods presented. </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Cash Provided by Operations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Cash provided by operations was $1.7 billion during the six months ended June 30, 2026 compared to $1.1 billion in the prior year. The increase was driven primarily by an insurance recovery associated with the settlement of claims from a previous acquisition and favorable changes in operating working capital, due in part to timing and lower incentive payments in the current year. </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Investing</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Cash used for investing was $765 during the six months ended June 30, 2026 compared to $312 in the prior year, primarily reflecting higher planned capital spending. During the six months ended June 30, 2026, our capital spending was $776 compared to $401 in the prior year. We anticipate that full year capital spending will be approximately $1.3 billion, including incremental spending from the 2024 Transformation Initiative.</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Financing</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Cash used for financing was $222 during the six months ended June 30, 2026 compared to $1.2 billion in the prior year. This decrease was primarily due to debt proceeds of $1.3 billion related to the IFP Term Loan Facility (see Item 1, Note 3 to the Unaudited Interim Condensed Consolidated Financial Statements for details), a portion of which were used to repay our U.S. commercial paper facilities. During the six months ended June 30, 2026, we did not repurchase any shares of common stock.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issue long-term debt in the public market periodically. Proceeds from the offerings are used for general corporate purposes, including repayment of maturing debt or outstanding commercial paper indebtedness.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short-term debt, which consists of U.S. commercial paper with original maturities up to 90 days and/or other short-term debt issued by non-U.S. subsidiaries, was $31 as of June 30, 2026 (included in Debt payable within one year on the Condensed Consolidated Balance Sheets). The average month-end balance of short-term debt for the six months ended June 30, 2026 was $652. These short-term borrowings provide supplemental funding to support our operations. The level of short-term debt generally fluctuates depending upon the amount of operating cash flows and the timing of customer receipts and payments for items such as pension contributions, dividends and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60350"/>
                <wp:effectExtent l="0" t="0" r="0" b="0"/>
                <wp:wrapNone/>
                <wp:docPr id="30" name="Frame2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a result of the pending Kenvue Acquisition, in November 2025, the Company and JPMorgan Chase Bank, N.A. (the "Bank") executed a certain bridge loan facility commitment letter, pursuant to which the Bank has committed to provide bridge financing (the "Bridge Facility") in an amount of $7.7 billion to the Company to fund the Cash Consideration, the fees, costs and expenses incurred in connection with the transactions contemplated by the Merger Agreement and to repay certain existing indebtedness of Kenvue and/or its subsidiaries. In December 2025, $3.8 billion of the commitments in the Bridge Facility were terminated in connection with entry into the New Revolving Credit Facility and DDTL Credit Facility (as defined below).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 December 2025, we entered into (i) the Five-Year Revolving Credit Agreement by and among Kimberly-Clark, JPMorgan Chase Bank, N.A. (the "Bank") and the other lenders party thereto (the “New Revolving Credit Facility”) and (ii) the Delayed Draw Term Loan Credit Agreement by and among Kimberly-Clark, the Bank, and the other lenders party thereto (the “DDTL Credit Facility”). The New Revolving Credit Facility matures in December 2030 and provides for a revolving credit facility of up to $4.0 billion (which may be increased by up to $1.0 billion upon obtaining additional commitments from the then-existing or new lenders and the satisfaction of certain other conditions). Concurrently with the closing of the New Revolving Credit Facility and the DDTL Credit Facility, we terminated the commitments outstanding under our previous $750 revolving credit facility, originally set to mature in May 2026 and reduced the commitments outstanding under our existing $2.0 billion revolving credit facility, which matures in June 2028, to $1.0 billion. For further information, refer to our Annual Report on Form 10-K for the year ended December 31, 2025.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June 30, 2026 and December 31, 2025, total debt from continuing operations was $6.5 billion and $7.2 billion, respectively.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Organization for Economic Co-Operation and Development introduced a framework under Pillar Two which includes a 15% global minimum tax rate. Many jurisdictions in which we do business have started to enact laws implementing Pillar Two. We are monitoring these developments and currently do not believe these rules will have a material impact on our financial results.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that our ability to generate cash from operations and our capacity to issue short-term and long-term debt are adequate to fund working capital, obligations related to our 2024 Transformation Initiative, capital spending, pension contributions, share repurchases, dividends and other needs for the foreseeable future. Further, we do not expect restrictions or taxes on repatriation of cash held outside of the U.S. to have a material effect on our overall business, liquidity, financial condition or results of operations for the foreseeable future.</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Information Concerning Forward-Looking Statements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Certain matters contained in this report concerning our plans and expectations regarding the pending Kenvue Acquisition (referred to below as the "pending mergers" or the "mergers") and the IFP Transaction, the business outlook, including raw material, energy and other input costs, the anticipated charges and savings from the 2024 Transformation Initiative, cash flow and uses of cash, growth initiatives, innovations, marketing and other spending, net sales, anticipated currency rates and exchange risks, including the impact in Argentina and Türkiye, effective tax rate, contingencies and anticipated transactions of Kimberly-Clark, including dividends, share repurchases and pension contributions, constitute "forward-looking statements" within the meaning of the Private Securities Litigation Reform Act of 1995 and are based upon management's expectations and beliefs concerning future events impacting Kimberly-Clark. There can be no assurance that these future events will occur as anticipated or that our results will be as estimated. Forward-looking statements speak only as of the date they were made, and we undertake no obligation to publicly update them.</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assumptions used as a basis for the forward-looking statements include many estimates that, among other things, depend on the successful completion of the mergers and the achievement of future cost savings and projected volume increases. In addition, many factors outside our control, including risks and uncertainties around the pending mergers (including the risk that the anticipated benefits and synergies of the mergers may not be realized when expected or at all, the terms and scope of the expected financing in connection with the mergers may prove to be less favorable than currently expected, that the mergers may not be completed in a timely manner or at all and the risk of litigation related to the mergers), the IFP Transaction (including risks related to the incurrence of significant transaction and separation costs, adverse market reactions, regulatory or legal challenges, and operational disruptions), risks that we are not able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60350"/>
                <wp:effectExtent l="0" t="0" r="0" b="0"/>
                <wp:wrapNone/>
                <wp:docPr id="31" name="Frame3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acquisition and disposition activity, impairment of goodwill and intangible assets and our projections of operating results and other factors that may affect our impairment testing, changes in customer preferences, severe weather conditions, regional instabilities and hostilities (including the war in Iran), potential competitive pressures on selling prices for our products, energy costs, general economic and political conditions globally and in the markets in which we do business, as well as our ability to maintain key customer relationships, could affect the realization of these estimates.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factors described under Item 1A, "Risk Factors" in our Annual Report on Form 10-K for the year ended December 31, 2025, or in our other SEC filings, among others, could cause our future results to differ from those expressed in any forward-looking statements made by us or on our behalf. Other factors not presently known to us or that we presently consider immaterial could also affect our business operations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rFonts w:ascii="Arial;sans-serif" w:hAnsi="Arial;sans-serif"/>
          <w:b/>
          <w:color w:val="000000"/>
          <w:sz w:val="20"/>
        </w:rPr>
      </w:pPr>
      <w:r>
        <w:rPr>
          <w:rFonts w:ascii="Arial;sans-serif" w:hAnsi="Arial;sans-serif"/>
          <w:b/>
          <w:color w:val="000000"/>
          <w:sz w:val="20"/>
        </w:rPr>
        <w:t>SUMMARY OF NON-GAAP FINANCIAL MEASURES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The following provides the reconciliation of the non-GAAP financial measures provided in this report to the most closely related GAAP measure. These measures include: Organic Sales Growth, Adjusted Gross Profit, Adjusted Operating Profit, Adjusted Earnings per Share, and Adjusted Effective Tax Rate. All discussions regarding non-GAAP financial measures reflect results from our continuing operations for all periods presented.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Organic Sales Growth is defined as the change in Net Sales, as determined in accordance with GAAP, excluding the impacts of currency translation and divestitures and business exits.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Adjusted Gross and Operating Profit, Adjusted Earnings per Share, and Adjusted Effective Tax Rate are defined as Gross Profit, Operating Profit, Diluted Earnings per Share, and Effective Tax Rate, respectively, as determined in accordance with GAAP, excluding the impacts of certain items that management believes do not reflect our underlying operations, and which are discussed in further detail below.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income tax effect of these non-GAAP items on the Company's Adjusted Earnings per Share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Income from Continuing Operations Before Income Taxes and Equity Interests and Provision for income taxes.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GAAP financial measures and the reconciliation to those measures, provides investors with additional understanding of the factors and trends affecting our business than could be obtained absent these disclosures.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These non-GAAP financial measures are not meant to be considered in isolation or as a substitute for the comparable GAAP measures, and they should be read only in conjunction with our Unaudited Interim Condensed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non-GAAP financial measures exclude the following items for the relevant time periods: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 See Item 1, Note 2 to the Unaudited Interim Condensed Consolidated Financial Statements for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60350"/>
                <wp:effectExtent l="0" t="0" r="0" b="0"/>
                <wp:wrapNone/>
                <wp:docPr id="32" name="Frame3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Kenvue Acquisition - Acquisition-related costs incurred in connection with the pending Kenvue Acquisition, primarily related to external advisory, legal, accounting, and other related costs. See Item 1, Note 4 to the Unaudited Interim Condensed Consolidated Financial Statements for details.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Brazil Business Tax Credits - Favorable legal ruling resolving certain matters related to prior years' business taxes in Brazil.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Insurance Recovery - Settlement of insurance claims related to a previous acquisition.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IFP Repatriated Earnings - In connection with the IFP Transaction, we recognized deferred tax liabilities for certain permanently reinvested earnings from the IFP Business that are expected to be repatriated.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provide a reconciliation of Organic Sales Growth from continuing operations:</w:t>
      </w:r>
    </w:p>
    <w:tbl>
      <w:tblPr>
        <w:tblW w:w="6735" w:type="dxa"/>
        <w:jc w:val="left"/>
        <w:tblInd w:w="0" w:type="dxa"/>
        <w:tblLayout w:type="fixed"/>
        <w:tblCellMar>
          <w:top w:w="28" w:type="dxa"/>
          <w:left w:w="28" w:type="dxa"/>
          <w:bottom w:w="28" w:type="dxa"/>
          <w:right w:w="28" w:type="dxa"/>
        </w:tblCellMar>
      </w:tblPr>
      <w:tblGrid>
        <w:gridCol w:w="1053"/>
        <w:gridCol w:w="924"/>
        <w:gridCol w:w="932"/>
        <w:gridCol w:w="109"/>
        <w:gridCol w:w="109"/>
        <w:gridCol w:w="109"/>
        <w:gridCol w:w="259"/>
        <w:gridCol w:w="236"/>
        <w:gridCol w:w="214"/>
        <w:gridCol w:w="214"/>
        <w:gridCol w:w="214"/>
        <w:gridCol w:w="214"/>
        <w:gridCol w:w="271"/>
        <w:gridCol w:w="224"/>
        <w:gridCol w:w="214"/>
        <w:gridCol w:w="214"/>
        <w:gridCol w:w="214"/>
        <w:gridCol w:w="214"/>
        <w:gridCol w:w="258"/>
        <w:gridCol w:w="237"/>
        <w:gridCol w:w="302"/>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 vs. the prior year period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IPC</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w:t>
            </w:r>
            <w:r>
              <w:rPr>
                <w:color w:val="000000"/>
              </w:rPr>
              <w:t>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 and Business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Organic Sales Growth</w:t>
            </w:r>
            <w:r>
              <w:rPr>
                <w:rFonts w:ascii="Arial;sans-serif" w:hAnsi="Arial;sans-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(0.7)</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6735" w:type="dxa"/>
        <w:jc w:val="left"/>
        <w:tblInd w:w="0" w:type="dxa"/>
        <w:tblLayout w:type="fixed"/>
        <w:tblCellMar>
          <w:top w:w="28" w:type="dxa"/>
          <w:left w:w="28" w:type="dxa"/>
          <w:bottom w:w="28" w:type="dxa"/>
          <w:right w:w="28" w:type="dxa"/>
        </w:tblCellMar>
      </w:tblPr>
      <w:tblGrid>
        <w:gridCol w:w="1053"/>
        <w:gridCol w:w="924"/>
        <w:gridCol w:w="932"/>
        <w:gridCol w:w="109"/>
        <w:gridCol w:w="109"/>
        <w:gridCol w:w="109"/>
        <w:gridCol w:w="259"/>
        <w:gridCol w:w="236"/>
        <w:gridCol w:w="214"/>
        <w:gridCol w:w="214"/>
        <w:gridCol w:w="214"/>
        <w:gridCol w:w="214"/>
        <w:gridCol w:w="271"/>
        <w:gridCol w:w="224"/>
        <w:gridCol w:w="214"/>
        <w:gridCol w:w="214"/>
        <w:gridCol w:w="214"/>
        <w:gridCol w:w="214"/>
        <w:gridCol w:w="258"/>
        <w:gridCol w:w="237"/>
        <w:gridCol w:w="302"/>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 vs. the prior year period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IPC</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(0.9)</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 and Business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Organic Sales Growth</w:t>
            </w:r>
            <w:r>
              <w:rPr>
                <w:rFonts w:ascii="Arial;sans-serif" w:hAnsi="Arial;sans-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(a)    Table may not foot due to rounding.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provides a reconciliation of Adjusted Gross Profit from continuing operations:</w:t>
      </w:r>
    </w:p>
    <w:tbl>
      <w:tblPr>
        <w:tblW w:w="7917" w:type="dxa"/>
        <w:jc w:val="left"/>
        <w:tblInd w:w="0" w:type="dxa"/>
        <w:tblLayout w:type="fixed"/>
        <w:tblCellMar>
          <w:top w:w="28" w:type="dxa"/>
          <w:left w:w="28" w:type="dxa"/>
          <w:bottom w:w="28" w:type="dxa"/>
          <w:right w:w="28" w:type="dxa"/>
        </w:tblCellMar>
      </w:tblPr>
      <w:tblGrid>
        <w:gridCol w:w="977"/>
        <w:gridCol w:w="858"/>
        <w:gridCol w:w="865"/>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provides a reconciliation of Adjusted Operating Profit from continuing operations:</w:t>
      </w:r>
    </w:p>
    <w:tbl>
      <w:tblPr>
        <w:tblW w:w="7586" w:type="dxa"/>
        <w:jc w:val="left"/>
        <w:tblInd w:w="0" w:type="dxa"/>
        <w:tblLayout w:type="fixed"/>
        <w:tblCellMar>
          <w:top w:w="28" w:type="dxa"/>
          <w:left w:w="28" w:type="dxa"/>
          <w:bottom w:w="28" w:type="dxa"/>
          <w:right w:w="28" w:type="dxa"/>
        </w:tblCellMar>
      </w:tblPr>
      <w:tblGrid>
        <w:gridCol w:w="977"/>
        <w:gridCol w:w="859"/>
        <w:gridCol w:w="863"/>
        <w:gridCol w:w="109"/>
        <w:gridCol w:w="109"/>
        <w:gridCol w:w="109"/>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60350"/>
                <wp:effectExtent l="0" t="0" r="0" b="0"/>
                <wp:wrapNone/>
                <wp:docPr id="33" name="Frame3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provides a reconciliation of Adjusted Earnings per Share from continuing operations:</w:t>
      </w:r>
    </w:p>
    <w:tbl>
      <w:tblPr>
        <w:tblW w:w="7766" w:type="dxa"/>
        <w:jc w:val="left"/>
        <w:tblInd w:w="0" w:type="dxa"/>
        <w:tblLayout w:type="fixed"/>
        <w:tblCellMar>
          <w:top w:w="28" w:type="dxa"/>
          <w:left w:w="28" w:type="dxa"/>
          <w:bottom w:w="28" w:type="dxa"/>
          <w:right w:w="28" w:type="dxa"/>
        </w:tblCellMar>
      </w:tblPr>
      <w:tblGrid>
        <w:gridCol w:w="1076"/>
        <w:gridCol w:w="945"/>
        <w:gridCol w:w="948"/>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Repatriated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Earnings per Share</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adjustments on the Company's reported Provision for income 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provide a reconciliation of the continuing operations Adjusted Effective Tax Rate:</w:t>
      </w:r>
    </w:p>
    <w:tbl>
      <w:tblPr>
        <w:tblW w:w="10205" w:type="dxa"/>
        <w:jc w:val="left"/>
        <w:tblInd w:w="0" w:type="dxa"/>
        <w:tblLayout w:type="fixed"/>
        <w:tblCellMar>
          <w:top w:w="28" w:type="dxa"/>
          <w:left w:w="28" w:type="dxa"/>
          <w:bottom w:w="28" w:type="dxa"/>
          <w:right w:w="28" w:type="dxa"/>
        </w:tblCellMar>
      </w:tblPr>
      <w:tblGrid>
        <w:gridCol w:w="625"/>
        <w:gridCol w:w="550"/>
        <w:gridCol w:w="552"/>
        <w:gridCol w:w="109"/>
        <w:gridCol w:w="109"/>
        <w:gridCol w:w="109"/>
        <w:gridCol w:w="600"/>
        <w:gridCol w:w="1368"/>
        <w:gridCol w:w="310"/>
        <w:gridCol w:w="109"/>
        <w:gridCol w:w="109"/>
        <w:gridCol w:w="109"/>
        <w:gridCol w:w="270"/>
        <w:gridCol w:w="646"/>
        <w:gridCol w:w="366"/>
        <w:gridCol w:w="109"/>
        <w:gridCol w:w="109"/>
        <w:gridCol w:w="109"/>
        <w:gridCol w:w="600"/>
        <w:gridCol w:w="1368"/>
        <w:gridCol w:w="310"/>
        <w:gridCol w:w="109"/>
        <w:gridCol w:w="109"/>
        <w:gridCol w:w="109"/>
        <w:gridCol w:w="267"/>
        <w:gridCol w:w="640"/>
        <w:gridCol w:w="425"/>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for Income Taxes</w:t>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572</w:t>
            </w:r>
            <w:r>
              <w:rPr>
                <w:color w:val="000000"/>
              </w:rPr>
              <w:t>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Repatriated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w:t>
            </w: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696</w:t>
            </w:r>
            <w:r>
              <w:rPr>
                <w:color w:val="000000"/>
              </w:rPr>
              <w:t>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(147)</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37.9</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60350"/>
                <wp:effectExtent l="0" t="0" r="0" b="0"/>
                <wp:wrapNone/>
                <wp:docPr id="34" name="Frame3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625"/>
        <w:gridCol w:w="550"/>
        <w:gridCol w:w="552"/>
        <w:gridCol w:w="109"/>
        <w:gridCol w:w="109"/>
        <w:gridCol w:w="109"/>
        <w:gridCol w:w="496"/>
        <w:gridCol w:w="1522"/>
        <w:gridCol w:w="260"/>
        <w:gridCol w:w="109"/>
        <w:gridCol w:w="109"/>
        <w:gridCol w:w="109"/>
        <w:gridCol w:w="270"/>
        <w:gridCol w:w="646"/>
        <w:gridCol w:w="366"/>
        <w:gridCol w:w="109"/>
        <w:gridCol w:w="109"/>
        <w:gridCol w:w="109"/>
        <w:gridCol w:w="496"/>
        <w:gridCol w:w="1522"/>
        <w:gridCol w:w="260"/>
        <w:gridCol w:w="109"/>
        <w:gridCol w:w="109"/>
        <w:gridCol w:w="109"/>
        <w:gridCol w:w="267"/>
        <w:gridCol w:w="640"/>
        <w:gridCol w:w="425"/>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for Income Taxes</w:t>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1,257</w:t>
            </w:r>
            <w:r>
              <w:rPr>
                <w:color w:val="000000"/>
              </w:rPr>
              <w:t>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(381)</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Repatriated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w:t>
            </w: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1,360</w:t>
            </w:r>
            <w:r>
              <w:rPr>
                <w:color w:val="000000"/>
              </w:rPr>
              <w:t>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(321)</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30.3</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23.6</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an evaluation was performed under the supervision and with the participation of management, including the Chief Executive Officer and Chief Financial Officer, of the effectiveness of the design and operation of our disclosure controls and procedures. Based on that evaluation, management, including the Chief Executive Officer and Chief Financial Officer, concluded that our disclosure controls and procedures were effective as of June 30, 2026. There were no changes in our internal control over financial reporting during the quarter covered by this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60350"/>
                <wp:effectExtent l="0" t="0" r="0" b="0"/>
                <wp:wrapNone/>
                <wp:docPr id="35" name="Frame3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180"/>
        <w:ind w:left="0" w:right="0" w:hanging="900"/>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Purchases of Equity Securities by the Issuer and Affiliated Purchasers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We repurchase shares of Kimberly-Clark common stock from time to time pursuant to publicly announced share repurchase programs. On January 22, 2021, our Board of Directors authorized a share repurchase program that allows for the repurchase of 40 million shares in an amount not to exceed $5 billion. As of June 30, 2026, the Company has repurchased approximately 9.2 million shares and approximately 30.8 million shares remain available for repurchase under the program. No shares were repurchased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80" w:after="283"/>
        <w:ind w:left="0" w:right="0" w:hanging="720"/>
        <w:jc w:val="both"/>
        <w:rPr/>
      </w:pPr>
      <w:r>
        <w:rPr>
          <w:rFonts w:ascii="Arial;sans-serif" w:hAnsi="Arial;sans-serif"/>
          <w:b w:val="false"/>
          <w:color w:val="000000"/>
          <w:sz w:val="20"/>
          <w:shd w:fill="FFFFFF" w:val="clear"/>
        </w:rPr>
        <w:t>(c)</w:t>
      </w:r>
      <w:r>
        <w:rPr>
          <w:rFonts w:ascii="Arial;sans-serif" w:hAnsi="Arial;sans-serif"/>
          <w:b w:val="false"/>
          <w:color w:val="000000"/>
          <w:sz w:val="20"/>
        </w:rPr>
        <w:t>Our directors and officers may from time to time enter into plans or other arrangements for the purchase or sale of our shares that are intended to satisfy the affirmative defense conditions of Rule 10b5-1(c) or may represent a non-Rule 10b5-1 trading arrangement under the Securities Exchange Act of 1934, as amended. During the three months ended June 30, 2026, no such plans or other arrangements were adopted or terminated.</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0350"/>
                <wp:effectExtent l="0" t="0" r="0" b="0"/>
                <wp:wrapNone/>
                <wp:docPr id="36" name="Frame3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r>
        <w:rPr>
          <w:rFonts w:ascii="Arial;sans-serif" w:hAnsi="Arial;sans-serif"/>
          <w:b/>
          <w:color w:val="000000"/>
          <w:sz w:val="20"/>
        </w:rPr>
        <w:t>Item 6.    </w:t>
      </w:r>
      <w:r>
        <w:rPr>
          <w:rFonts w:ascii="Arial;sans-serif" w:hAnsi="Arial;sans-serif"/>
          <w:b/>
          <w:color w:val="000000"/>
          <w:sz w:val="20"/>
          <w:shd w:fill="FFFFFF" w:val="clear"/>
        </w:rPr>
        <w:t xml:space="preserve">Exhibits </w:t>
      </w:r>
    </w:p>
    <w:p>
      <w:pPr>
        <w:pStyle w:val="TextBody"/>
        <w:bidi w:val="0"/>
        <w:spacing w:lineRule="auto" w:line="288" w:before="180" w:after="283"/>
        <w:ind w:left="0" w:right="0" w:hanging="900"/>
        <w:jc w:val="left"/>
        <w:rPr>
          <w:rFonts w:ascii="Arial;sans-serif" w:hAnsi="Arial;sans-serif"/>
          <w:b w:val="false"/>
          <w:color w:val="000000"/>
          <w:sz w:val="20"/>
        </w:rPr>
      </w:pPr>
      <w:r>
        <w:rPr>
          <w:rFonts w:ascii="Arial;sans-serif" w:hAnsi="Arial;sans-serif"/>
          <w:b w:val="false"/>
          <w:color w:val="000000"/>
          <w:sz w:val="20"/>
        </w:rPr>
        <w:t>(a)Exhibits</w:t>
      </w:r>
    </w:p>
    <w:p>
      <w:pPr>
        <w:pStyle w:val="TextBody"/>
        <w:bidi w:val="0"/>
        <w:spacing w:lineRule="auto" w:line="288" w:before="100" w:after="283"/>
        <w:jc w:val="both"/>
        <w:rPr/>
      </w:pPr>
      <w:hyperlink w:anchor="exhibitperformancersuaward.htm">
        <w:r>
          <w:rPr>
            <w:rStyle w:val="InternetLink"/>
            <w:rFonts w:ascii="Arial;sans-serif" w:hAnsi="Arial;sans-serif"/>
            <w:b w:val="false"/>
            <w:color w:val="0000FF"/>
            <w:sz w:val="20"/>
            <w:u w:val="single"/>
          </w:rPr>
          <w:t>Exhibit No. (10)q. Form of Award Agreements under 2021 Equity Participation Plan for Performance Restricted Stock Units, filed herewith.</w:t>
        </w:r>
      </w:hyperlink>
    </w:p>
    <w:p>
      <w:pPr>
        <w:pStyle w:val="TextBody"/>
        <w:bidi w:val="0"/>
        <w:spacing w:lineRule="auto" w:line="288" w:before="100" w:after="283"/>
        <w:jc w:val="both"/>
        <w:rPr/>
      </w:pPr>
      <w:hyperlink w:anchor="exhibit10roff-cycletimexve.htm">
        <w:r>
          <w:rPr>
            <w:rStyle w:val="InternetLink"/>
            <w:rFonts w:ascii="Arial;sans-serif" w:hAnsi="Arial;sans-serif"/>
            <w:b w:val="false"/>
            <w:color w:val="0000FF"/>
            <w:sz w:val="20"/>
            <w:u w:val="single"/>
          </w:rPr>
          <w:t>Exhibit No. (10)r. Form of Award Agreements under 2021 Equity Participation Plan for Off-Cycle Time-Vested Restricted Stock Units, filed herewith.</w:t>
        </w:r>
      </w:hyperlink>
    </w:p>
    <w:p>
      <w:pPr>
        <w:pStyle w:val="TextBody"/>
        <w:bidi w:val="0"/>
        <w:spacing w:lineRule="auto" w:line="288" w:before="100" w:after="283"/>
        <w:jc w:val="both"/>
        <w:rPr/>
      </w:pPr>
      <w:hyperlink w:anchor="exhibit10tannualtime-veste.htm">
        <w:r>
          <w:rPr>
            <w:rStyle w:val="InternetLink"/>
            <w:rFonts w:ascii="Arial;sans-serif" w:hAnsi="Arial;sans-serif"/>
            <w:b w:val="false"/>
            <w:color w:val="0000FF"/>
            <w:sz w:val="20"/>
            <w:u w:val="single"/>
          </w:rPr>
          <w:t>Exhibit No. (10)t. Form of Award Agreements under 2021 Equity Participation Plan for Annual Time-Vested Restricted Stock Units, filed herewith.</w:t>
        </w:r>
      </w:hyperlink>
    </w:p>
    <w:p>
      <w:pPr>
        <w:pStyle w:val="TextBody"/>
        <w:bidi w:val="0"/>
        <w:spacing w:lineRule="auto" w:line="288" w:before="100" w:after="283"/>
        <w:jc w:val="both"/>
        <w:rPr/>
      </w:pPr>
      <w:hyperlink w:anchor="kmb10qq22026exhibit31a.htm">
        <w:r>
          <w:rPr>
            <w:rStyle w:val="InternetLink"/>
            <w:rFonts w:ascii="Arial;sans-serif" w:hAnsi="Arial;sans-serif"/>
            <w:b w:val="false"/>
            <w:color w:val="0000FF"/>
            <w:sz w:val="20"/>
            <w:u w:val="single"/>
          </w:rPr>
          <w:t>Exhibit No. (31)a. Certification of Chief Executive Officer required by Rule 13a-14(a) or Rule 15d-14(a) of the Exchange Act, filed herewith.</w:t>
        </w:r>
      </w:hyperlink>
    </w:p>
    <w:p>
      <w:pPr>
        <w:pStyle w:val="TextBody"/>
        <w:bidi w:val="0"/>
        <w:spacing w:lineRule="auto" w:line="288" w:before="100" w:after="283"/>
        <w:jc w:val="both"/>
        <w:rPr/>
      </w:pPr>
      <w:hyperlink w:anchor="kmb10qq22026exhibit31b.htm">
        <w:r>
          <w:rPr>
            <w:rStyle w:val="InternetLink"/>
            <w:rFonts w:ascii="Arial;sans-serif" w:hAnsi="Arial;sans-serif"/>
            <w:b w:val="false"/>
            <w:color w:val="0000FF"/>
            <w:sz w:val="20"/>
            <w:u w:val="single"/>
          </w:rPr>
          <w:t>Exhibit No. (31)b. Certification of Chief Financial Officer required by Rule 13a-14(a) or Rule 15d-14(a) of the Exchange Act, filed herewith.</w:t>
        </w:r>
      </w:hyperlink>
    </w:p>
    <w:p>
      <w:pPr>
        <w:pStyle w:val="TextBody"/>
        <w:bidi w:val="0"/>
        <w:spacing w:lineRule="auto" w:line="288" w:before="100" w:after="283"/>
        <w:jc w:val="both"/>
        <w:rPr/>
      </w:pPr>
      <w:hyperlink w:anchor="kmb10qq22026exhibit32a.htm">
        <w:r>
          <w:rPr>
            <w:rStyle w:val="InternetLink"/>
            <w:rFonts w:ascii="Arial;sans-serif" w:hAnsi="Arial;sans-serif"/>
            <w:b w:val="false"/>
            <w:color w:val="0000FF"/>
            <w:sz w:val="20"/>
            <w:u w:val="single"/>
          </w:rPr>
          <w:t>Exhibit No. (32)a. Certification of Chief Executive Officer required by Rule 13a-14(b) or Rule 15d-14(b) of the Exchange Act and Section 1350 of Chapter 63 of Title 18 of the United States Code, furnished herewith.</w:t>
        </w:r>
      </w:hyperlink>
    </w:p>
    <w:p>
      <w:pPr>
        <w:pStyle w:val="TextBody"/>
        <w:bidi w:val="0"/>
        <w:spacing w:lineRule="auto" w:line="288" w:before="100" w:after="283"/>
        <w:jc w:val="both"/>
        <w:rPr/>
      </w:pPr>
      <w:hyperlink w:anchor="kmb10qq22026exhibit32b.htm">
        <w:r>
          <w:rPr>
            <w:rStyle w:val="InternetLink"/>
            <w:rFonts w:ascii="Arial;sans-serif" w:hAnsi="Arial;sans-serif"/>
            <w:b w:val="false"/>
            <w:color w:val="0000FF"/>
            <w:sz w:val="20"/>
            <w:u w:val="single"/>
          </w:rPr>
          <w:t>Exhibit No. (32)b. Certification of Chief Financial Officer required by Rule 13a-14(b) or Rule 15d-14(b) of the Exchange Act and Section 1350 of Chapter 63 of Title 18 of the United States Code, furnished herewith.</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Exhibit No. (101).INS XBRL Instance Document - the instance document does not appear in the Interactive Data File because its XBRL tags are embedded within the Inline XBRL document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Exhibit No. (101).SCH XBRL Taxonomy Extension Schema Document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Exhibit No. (101).CAL XBRL Taxonomy Extension Calculation Linkbase Document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Exhibit No. (101).DEF XBRL Taxonomy Extension Definition Linkbase Document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Exhibit No. (101).LAB XBRL Taxonomy Extension Label Linkbase Document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Exhibit No. (101).PRE XBRL Taxonomy Extension Presentation Linkbase Document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Exhibit No. (104) The cover page from this Current Report on Form 10-Q formatted as Inline XBRL</w:t>
      </w:r>
    </w:p>
    <w:p>
      <w:pPr>
        <w:pStyle w:val="TextBody"/>
        <w:bidi w:val="0"/>
        <w:spacing w:before="180" w:after="283"/>
        <w:jc w:val="both"/>
        <w:rPr/>
      </w:pPr>
      <w:r>
        <w:rPr/>
      </w:r>
    </w:p>
    <w:p>
      <w:pPr>
        <w:pStyle w:val="TextBody"/>
        <w:bidi w:val="0"/>
        <w:spacing w:before="180" w:after="283"/>
        <w:jc w:val="left"/>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ind w:left="0" w:right="0" w:firstLine="720"/>
        <w:jc w:val="both"/>
        <w:rPr>
          <w:color w:val="000000"/>
        </w:rPr>
      </w:pPr>
      <w:r>
        <w:rPr>
          <w:color w:val="000000"/>
        </w:rPr>
        <w:t>     </w:t>
      </w:r>
    </w:p>
    <w:tbl>
      <w:tblPr>
        <w:tblW w:w="515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291"/>
        <w:gridCol w:w="1291"/>
        <w:gridCol w:w="182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KIMBERLY-CLARK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9"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9"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9"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9"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9"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9" w:type="dxa"/>
            <w:gridSpan w:val="3"/>
            <w:tcBorders/>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Nelson Urdaneta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Nelson Urdaneta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August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60350"/>
                <wp:effectExtent l="0" t="0" r="0" b="0"/>
                <wp:wrapNone/>
                <wp:docPr id="38" name="Frame3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PERFORMANCE RESTRICTED STOCK UNIT</w:t>
      </w:r>
    </w:p>
    <w:p>
      <w:pPr>
        <w:pStyle w:val="TextBody"/>
        <w:bidi w:val="0"/>
        <w:spacing w:lineRule="auto" w:line="288" w:before="0" w:after="480"/>
        <w:jc w:val="center"/>
        <w:rPr>
          <w:rFonts w:ascii="Arial;sans-serif" w:hAnsi="Arial;sans-serif"/>
          <w:b/>
          <w:color w:val="000000"/>
          <w:sz w:val="20"/>
        </w:rPr>
      </w:pPr>
      <w:r>
        <w:rPr>
          <w:rFonts w:ascii="Arial;sans-serif" w:hAnsi="Arial;sans-serif"/>
          <w:b/>
          <w:color w:val="000000"/>
          <w:sz w:val="20"/>
        </w:rPr>
        <w:t>AWARD AGREEMENT</w:t>
      </w:r>
    </w:p>
    <w:p>
      <w:pPr>
        <w:pStyle w:val="TextBody"/>
        <w:bidi w:val="0"/>
        <w:spacing w:lineRule="auto" w:line="288" w:before="0" w:after="0"/>
        <w:jc w:val="left"/>
        <w:rPr/>
      </w:pPr>
      <w:r>
        <w:rPr>
          <w:rFonts w:ascii="Arial;sans-serif" w:hAnsi="Arial;sans-serif"/>
          <w:b w:val="false"/>
          <w:color w:val="000000"/>
          <w:sz w:val="20"/>
        </w:rPr>
        <w:t>This Award, granted effective on</w:t>
      </w:r>
      <w:r>
        <w:rPr>
          <w:color w:val="000000"/>
          <w:shd w:fill="FFFFFF" w:val="clear"/>
        </w:rPr>
        <w:t xml:space="preserve"> </w:t>
      </w:r>
      <w:r>
        <w:rPr>
          <w:rFonts w:ascii="Arial;sans-serif" w:hAnsi="Arial;sans-serif"/>
          <w:b w:val="false"/>
          <w:color w:val="000000"/>
          <w:sz w:val="20"/>
          <w:shd w:fill="FFFFFF" w:val="clear"/>
        </w:rPr>
        <w:t>__________ (t</w:t>
      </w:r>
      <w:r>
        <w:rPr>
          <w:rFonts w:ascii="Arial;sans-serif" w:hAnsi="Arial;sans-serif"/>
          <w:b w:val="false"/>
          <w:color w:val="000000"/>
          <w:sz w:val="20"/>
        </w:rPr>
        <w:t>he “Grant Date”), by Kimberly-Clark Corporation, a Delaware corporation (hereinafter called the “Corporation”), to</w:t>
      </w:r>
      <w:r>
        <w:rPr>
          <w:color w:val="000000"/>
          <w:shd w:fill="FFFFFF" w:val="clear"/>
        </w:rPr>
        <w:t xml:space="preserve"> </w:t>
      </w:r>
      <w:r>
        <w:rPr>
          <w:rFonts w:ascii="Arial;sans-serif" w:hAnsi="Arial;sans-serif"/>
          <w:b w:val="false"/>
          <w:color w:val="000000"/>
          <w:sz w:val="20"/>
          <w:shd w:fill="FFFFFF" w:val="clear"/>
        </w:rPr>
        <w:t xml:space="preserve">________________ </w:t>
      </w:r>
      <w:r>
        <w:rPr>
          <w:rFonts w:ascii="Arial;sans-serif" w:hAnsi="Arial;sans-serif"/>
          <w:b w:val="false"/>
          <w:color w:val="000000"/>
          <w:sz w:val="20"/>
        </w:rPr>
        <w:t xml:space="preserve">(the “Participant”) is subject to the terms and conditions of the Kimberly-Clark Corporation 2021 Equity Participation Plan (the “Plan”) and the Award Agreement, including any terms and conditions contained in Appendix A and/or Appendix B to the Award Agreement. </w:t>
      </w:r>
    </w:p>
    <w:p>
      <w:pPr>
        <w:pStyle w:val="TextBody"/>
        <w:bidi w:val="0"/>
        <w:spacing w:before="0" w:after="0"/>
        <w:jc w:val="left"/>
        <w:rPr/>
      </w:pPr>
      <w:r>
        <w:rPr/>
      </w:r>
    </w:p>
    <w:p>
      <w:pPr>
        <w:pStyle w:val="TextBody"/>
        <w:bidi w:val="0"/>
        <w:spacing w:lineRule="auto" w:line="288" w:before="0" w:after="240"/>
        <w:jc w:val="center"/>
        <w:rPr/>
      </w:pPr>
      <w:r>
        <w:rPr>
          <w:rFonts w:ascii="Arial;sans-serif" w:hAnsi="Arial;sans-serif"/>
          <w:b w:val="false"/>
          <w:color w:val="000000"/>
          <w:sz w:val="20"/>
          <w:u w:val="single"/>
        </w:rPr>
        <w:t>W</w:t>
      </w:r>
      <w:r>
        <w:rPr>
          <w:color w:val="000000"/>
        </w:rPr>
        <w:t xml:space="preserve"> </w:t>
      </w:r>
      <w:r>
        <w:rPr>
          <w:rFonts w:ascii="Arial;sans-serif" w:hAnsi="Arial;sans-serif"/>
          <w:b w:val="false"/>
          <w:color w:val="000000"/>
          <w:sz w:val="20"/>
          <w:u w:val="single"/>
        </w:rPr>
        <w:t>I</w:t>
      </w:r>
      <w:r>
        <w:rPr>
          <w:color w:val="000000"/>
        </w:rPr>
        <w:t xml:space="preserve"> </w:t>
      </w:r>
      <w:r>
        <w:rPr>
          <w:rFonts w:ascii="Arial;sans-serif" w:hAnsi="Arial;sans-serif"/>
          <w:b w:val="false"/>
          <w:color w:val="000000"/>
          <w:sz w:val="20"/>
          <w:u w:val="single"/>
        </w:rPr>
        <w:t>T</w:t>
      </w:r>
      <w:r>
        <w:rPr>
          <w:color w:val="000000"/>
        </w:rPr>
        <w:t xml:space="preserve"> </w:t>
      </w:r>
      <w:r>
        <w:rPr>
          <w:rFonts w:ascii="Arial;sans-serif" w:hAnsi="Arial;sans-serif"/>
          <w:b w:val="false"/>
          <w:color w:val="000000"/>
          <w:sz w:val="20"/>
          <w:u w:val="single"/>
        </w:rPr>
        <w:t>N</w:t>
      </w:r>
      <w:r>
        <w:rPr>
          <w:color w:val="000000"/>
        </w:rPr>
        <w:t xml:space="preserve"> </w:t>
      </w:r>
      <w:r>
        <w:rPr>
          <w:rFonts w:ascii="Arial;sans-serif" w:hAnsi="Arial;sans-serif"/>
          <w:b w:val="false"/>
          <w:color w:val="000000"/>
          <w:sz w:val="20"/>
          <w:u w:val="single"/>
        </w:rPr>
        <w:t>E</w:t>
      </w:r>
      <w:r>
        <w:rPr>
          <w:color w:val="000000"/>
        </w:rPr>
        <w:t xml:space="preserve"> </w:t>
      </w:r>
      <w:r>
        <w:rPr>
          <w:rFonts w:ascii="Arial;sans-serif" w:hAnsi="Arial;sans-serif"/>
          <w:b w:val="false"/>
          <w:color w:val="000000"/>
          <w:sz w:val="20"/>
          <w:u w:val="single"/>
        </w:rPr>
        <w:t>S</w:t>
      </w:r>
      <w:r>
        <w:rPr>
          <w:color w:val="000000"/>
        </w:rPr>
        <w:t xml:space="preserve"> </w:t>
      </w:r>
      <w:r>
        <w:rPr>
          <w:rFonts w:ascii="Arial;sans-serif" w:hAnsi="Arial;sans-serif"/>
          <w:b w:val="false"/>
          <w:color w:val="000000"/>
          <w:sz w:val="20"/>
          <w:u w:val="single"/>
        </w:rPr>
        <w:t>S</w:t>
      </w:r>
      <w:r>
        <w:rPr>
          <w:color w:val="000000"/>
        </w:rPr>
        <w:t xml:space="preserve"> </w:t>
      </w:r>
      <w:r>
        <w:rPr>
          <w:rFonts w:ascii="Arial;sans-serif" w:hAnsi="Arial;sans-serif"/>
          <w:b w:val="false"/>
          <w:color w:val="000000"/>
          <w:sz w:val="20"/>
          <w:u w:val="single"/>
        </w:rPr>
        <w:t>E</w:t>
      </w:r>
      <w:r>
        <w:rPr>
          <w:color w:val="000000"/>
        </w:rPr>
        <w:t xml:space="preserve"> </w:t>
      </w:r>
      <w:r>
        <w:rPr>
          <w:rFonts w:ascii="Arial;sans-serif" w:hAnsi="Arial;sans-serif"/>
          <w:b w:val="false"/>
          <w:color w:val="000000"/>
          <w:sz w:val="20"/>
          <w:u w:val="single"/>
        </w:rPr>
        <w:t>T</w:t>
      </w:r>
      <w:r>
        <w:rPr>
          <w:color w:val="000000"/>
        </w:rPr>
        <w:t xml:space="preserve"> </w:t>
      </w:r>
      <w:r>
        <w:rPr>
          <w:rFonts w:ascii="Arial;sans-serif" w:hAnsi="Arial;sans-serif"/>
          <w:b w:val="false"/>
          <w:color w:val="000000"/>
          <w:sz w:val="20"/>
          <w:u w:val="single"/>
        </w:rPr>
        <w:t>H</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WHEREAS, the Corporation has adopted the Plan to encourage those employees who materially contribute, by managerial, scientific or other innovative means, to the success of the Corporation or of an Affiliate, to acquire an ownership interest in the Corporation, thereby increasing their motivation for and interest in the Corporation’s and its Affiliates' long-term success;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NOW, THEREFORE, it is agreed as follows:</w:t>
      </w:r>
    </w:p>
    <w:p>
      <w:pPr>
        <w:pStyle w:val="TextBody"/>
        <w:bidi w:val="0"/>
        <w:spacing w:lineRule="auto" w:line="288" w:before="0" w:after="240"/>
        <w:jc w:val="left"/>
        <w:rPr/>
      </w:pPr>
      <w:r>
        <w:rPr>
          <w:rFonts w:ascii="Arial;sans-serif" w:hAnsi="Arial;sans-serif"/>
          <w:b w:val="false"/>
          <w:color w:val="000000"/>
          <w:sz w:val="20"/>
        </w:rPr>
        <w:t>1.    </w:t>
      </w:r>
      <w:r>
        <w:rPr>
          <w:rFonts w:ascii="Arial;sans-serif" w:hAnsi="Arial;sans-serif"/>
          <w:b w:val="false"/>
          <w:color w:val="000000"/>
          <w:sz w:val="20"/>
          <w:u w:val="single"/>
        </w:rPr>
        <w:t>Number of Share Units Granted</w:t>
      </w:r>
      <w:r>
        <w:rPr>
          <w:rFonts w:ascii="Arial;sans-serif" w:hAnsi="Arial;sans-serif"/>
          <w:b w:val="false"/>
          <w:color w:val="000000"/>
          <w:sz w:val="20"/>
        </w:rPr>
        <w:t xml:space="preserve">. The Corporation hereby grants to the Participant Performance Restricted Stock Units (“PRSUs”) at the target level of </w:t>
      </w:r>
      <w:r>
        <w:rPr>
          <w:rFonts w:ascii="Arial;sans-serif" w:hAnsi="Arial;sans-serif"/>
          <w:b w:val="false"/>
          <w:color w:val="000000"/>
          <w:sz w:val="20"/>
          <w:shd w:fill="FFFFFF" w:val="clear"/>
        </w:rPr>
        <w:t>______</w:t>
      </w:r>
      <w:r>
        <w:rPr>
          <w:color w:val="000000"/>
        </w:rPr>
        <w:t xml:space="preserve"> </w:t>
      </w:r>
      <w:r>
        <w:rPr>
          <w:rFonts w:ascii="Arial;sans-serif" w:hAnsi="Arial;sans-serif"/>
          <w:b w:val="false"/>
          <w:color w:val="000000"/>
          <w:sz w:val="20"/>
        </w:rPr>
        <w:t xml:space="preserve">(the “Target Level”), subject to the terms, conditions and restrictions set forth herein and in the Plan, and the Corporation's attainment of the Performance Goals established by the Committee. The actual number of PRSUs earned by the Participant at the end of the Restricted Period may range from 0 to 200% of the Target Level. </w:t>
      </w:r>
    </w:p>
    <w:p>
      <w:pPr>
        <w:pStyle w:val="TextBody"/>
        <w:bidi w:val="0"/>
        <w:spacing w:lineRule="auto" w:line="288" w:before="0" w:after="240"/>
        <w:jc w:val="left"/>
        <w:rPr/>
      </w:pPr>
      <w:r>
        <w:rPr>
          <w:rFonts w:ascii="Arial;sans-serif" w:hAnsi="Arial;sans-serif"/>
          <w:b w:val="false"/>
          <w:color w:val="000000"/>
          <w:sz w:val="20"/>
        </w:rPr>
        <w:t>2.    </w:t>
      </w:r>
      <w:r>
        <w:rPr>
          <w:rFonts w:ascii="Arial;sans-serif" w:hAnsi="Arial;sans-serif"/>
          <w:b w:val="false"/>
          <w:color w:val="000000"/>
          <w:sz w:val="20"/>
          <w:u w:val="single"/>
        </w:rPr>
        <w:t>Transferability Restrictions</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val="false"/>
          <w:color w:val="000000"/>
          <w:sz w:val="20"/>
        </w:rPr>
        <w:t>(a)    </w:t>
      </w:r>
      <w:r>
        <w:rPr>
          <w:rFonts w:ascii="Arial;sans-serif" w:hAnsi="Arial;sans-serif"/>
          <w:b w:val="false"/>
          <w:color w:val="000000"/>
          <w:sz w:val="20"/>
          <w:u w:val="single"/>
        </w:rPr>
        <w:t>Restricted Period</w:t>
      </w:r>
      <w:r>
        <w:rPr>
          <w:rFonts w:ascii="Arial;sans-serif" w:hAnsi="Arial;sans-serif"/>
          <w:b w:val="false"/>
          <w:color w:val="000000"/>
          <w:sz w:val="20"/>
        </w:rPr>
        <w:t>. During the Restricted Period, the Participant may not sell, assign, transfer, or otherwise dispose of, or mortgage, pledge or otherwise encumber the Award, and any such attempted sale, assignment, transfer, pledge or disposal shall be void. Except as provided under this Section 2, the Award, including any accrued dividend equivalents, shall be subject to forfeiture until the end of the Restricted Period. The Participant becomes 100% vested in the number of PRSUs earned based on attainment of the Performance Goal at the end of the Restricted Period as approved and authorized by the Committee.</w:t>
      </w:r>
    </w:p>
    <w:p>
      <w:pPr>
        <w:pStyle w:val="TextBody"/>
        <w:bidi w:val="0"/>
        <w:spacing w:lineRule="auto" w:line="288" w:before="0" w:after="240"/>
        <w:jc w:val="left"/>
        <w:rPr/>
      </w:pPr>
      <w:r>
        <w:rPr>
          <w:rFonts w:ascii="Arial;sans-serif" w:hAnsi="Arial;sans-serif"/>
          <w:b w:val="false"/>
          <w:color w:val="000000"/>
          <w:sz w:val="20"/>
        </w:rPr>
        <w:t xml:space="preserve">The Restricted Period shall begin on the date of the granting of this Award, and shall end on </w:t>
      </w:r>
      <w:r>
        <w:rPr>
          <w:rFonts w:ascii="Arial;sans-serif" w:hAnsi="Arial;sans-serif"/>
          <w:b w:val="false"/>
          <w:color w:val="000000"/>
          <w:sz w:val="20"/>
          <w:shd w:fill="FFFFFF" w:val="clear"/>
        </w:rPr>
        <w:t xml:space="preserve">[Insert]. </w:t>
      </w:r>
      <w:r>
        <w:rPr>
          <w:rFonts w:ascii="Arial;sans-serif" w:hAnsi="Arial;sans-serif"/>
          <w:b w:val="false"/>
          <w:color w:val="000000"/>
          <w:sz w:val="20"/>
        </w:rPr>
        <w:t xml:space="preserve">During the Restricted Period, holders of Awards shall have none of the rights of a shareholder with respect to the shares of Common Stock that may be earned pursuant to the PRSUs, including, but not limited to, any right to receive dividends in cash or other property or other distribution or rights in respect of such shares except as otherwise provided in this Award Agreement, nor any right to vote such shares as the record owner thereof.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During each year in the Restricted Period, the Participant will not be paid dividend equivalents on the unvested PRSUs but the Participant will receive a credit equal to dividends declared on the Corporation’s Common Stock which will be reinvested in additional PRSUs at the then fair market value of the Corporation’s Common Stock on the date dividends are paid, and the additional PRSUs will be accumulated and paid if and when the PRSUs vest, based on the actual number of PRSUs that vest. In the case of dividends paid in property other than cash, the amount of the dividend shall be deemed to be the fair market value of the property at the time of the payment of the dividend, as determined in good faith by the Corporation. The Corporation shall not be required to segregate any cash or other property of the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(b)    </w:t>
      </w:r>
      <w:r>
        <w:rPr>
          <w:rFonts w:ascii="Arial;sans-serif" w:hAnsi="Arial;sans-serif"/>
          <w:b w:val="false"/>
          <w:color w:val="000000"/>
          <w:sz w:val="20"/>
          <w:u w:val="single"/>
        </w:rPr>
        <w:t>Termination of Employment</w:t>
      </w:r>
      <w:r>
        <w:rPr>
          <w:rFonts w:ascii="Arial;sans-serif" w:hAnsi="Arial;sans-serif"/>
          <w:b w:val="false"/>
          <w:color w:val="000000"/>
          <w:sz w:val="20"/>
        </w:rPr>
        <w:t xml:space="preserve">. For purposes of this Award, the Participant's employment will be considered terminated as of the date the Participant is no longer actively providing services to the Corporation or one of its Affiliates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Award Agreement or determined by the Corporation, the Participant’s right to receive PRSUs and vest in the Award under the Plan, if any, will terminate effective as of such date and will not be extended by any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employed for purposes of the Award (including whether the Participant may still be considered employed while on a leave of absence).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shall forfeit any unvested Award, including any accrued dividend equivalents, upon termination of employment unless such termination is (i) due to a Qualified Termination of Employment, or (ii) if more than six months after the Grant Date, due to death, Retirement, Total and Permanent Disability, or the shutdown or divestiture of a business unit. A termination of employment shall not be deemed to have occurred while a Participant is on military leave or other bona fide leave of absence if the period of such leave does not exceed six months, or if longer, so long as the Participant retains a right to reemployment with the Corporation or an Affiliate under an applicable statute or by contract. For purposes of this sub-section, a leave of absence constitutes a bona fide leave of absence only if there is a reasonable expectation that the Participant will return to perform services for the Corporation or an Affiliate. If the period of leave exceeds six months and the Participant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is substituted for such six-month period in determining whether a termination of employment shall be deemed to have occurred. A termination of employment with the Corporation or an Affiliate to accept immediate reemployment with the Corporation or an Affiliate likewise shall not be deemed to be a termination of employment for the purposes of the Plan. A Participant who is classified as an intermittent employee shall be deemed to have a termination of employment for purposes of the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purposes of this Award, a termination of employment includes a termination that is deemed an “unfair dismissal” or a “constructive dismissal.” Further, the Participant understands that the Award is a conditional right. Participant shall forfeit any unvested Award upon termination of employment except as provided above, for example, regardless of whether (1) the Participant is considered to be unfairly dismissed without good cause; (2) the Participant is dismissed for disciplinary or objective reasons or due to a collective dismissal; (3) the Participant terminates his or her employment or service relationship due to a change of work location, duties or any other employment or contractual condition; or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Awards that were not vested on the date of termination of the Participant’s employment or service relationship, as described in the Plan and the Award Agreement.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(c)    </w:t>
      </w:r>
      <w:r>
        <w:rPr>
          <w:rFonts w:ascii="Arial;sans-serif" w:hAnsi="Arial;sans-serif"/>
          <w:b w:val="false"/>
          <w:color w:val="000000"/>
          <w:sz w:val="20"/>
          <w:u w:val="single"/>
        </w:rPr>
        <w:t>Death, Retirement, or Total and Permanent Disability</w:t>
      </w:r>
      <w:r>
        <w:rPr>
          <w:rFonts w:ascii="Arial;sans-serif" w:hAnsi="Arial;sans-serif"/>
          <w:b w:val="false"/>
          <w:color w:val="000000"/>
          <w:sz w:val="20"/>
        </w:rPr>
        <w:t xml:space="preserve">. In the event that more than six months after the Grant Date the Participant’s termination of employment is due to death or Total and Permanent Disability, it shall result in pro rata vesting in the number of PRSUs earned. This pro rata vesting shall be determined based on the Target Level of PRSUs (including any accrued dividend equivalents accumulated pursuant to Section 2(a)) (i) prorated for the number of full months of employment during the Restricted Period prior to the Participant’s termination of employment, multiplied by (ii) the Performance Goal percentage as approved and authorized by the Committee at the end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7665"/>
                <wp:effectExtent l="0" t="0" r="0" b="0"/>
                <wp:wrapNone/>
                <wp:docPr id="40" name="Frame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Restricted Period. Any fractional share of the Corporation resulting from such a prorated award shall be rounded to the nearest whole share and shall be paid, along with any other shares earned under such prorated award, within 70 days following the end of the Restricted Period or within such later period as permitted by Section 409A of the U.S. Internal Revenue Code of 1986 and the regulations thereunder, as amended from time to time (the "Code"). In the event that more than six months after the Grant Date the Participant’s termination of employment is due to Retirement, then provided that, in the sole discretion of the Corporation, (1) no circumstances exist that could lead to a determination that the Participant should be, or could have been, terminated for Cause; and (2) the Participant has not engaged in conduct that would trigger the right of forfeiture or recoupment under Section 21 of this Award Agreement, it shall result in 100% vesting in the number of PRSUs earned based on attainment of the Performance Goal at the end of the Restricted Period as approved and authorized by the Committee, and such Award shall be paid within 70 days following the end of the Restricted Period.</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this Section 2(c), if the Corporation receives an opinion of counsel that there has been a legal judgment and/or legal development in the Participant’s jurisdiction that would likely result in the favorable Retirement treatment that applies to the PRSUs under this Section 2(c) being deemed unlawful and/or discriminatory, then the Corporation will not apply the favorable Retirement treatment and PRSUs will be treated as they would under the rules that apply if the Participant’s employment with the Corporation or an Affiliate ends for any other reason, as applicable.</w:t>
      </w:r>
    </w:p>
    <w:p>
      <w:pPr>
        <w:pStyle w:val="TextBody"/>
        <w:bidi w:val="0"/>
        <w:spacing w:lineRule="auto" w:line="288" w:before="0" w:after="240"/>
        <w:jc w:val="left"/>
        <w:rPr/>
      </w:pPr>
      <w:r>
        <w:rPr>
          <w:rFonts w:ascii="Arial;sans-serif" w:hAnsi="Arial;sans-serif"/>
          <w:b w:val="false"/>
          <w:color w:val="000000"/>
          <w:sz w:val="20"/>
        </w:rPr>
        <w:t>(d)    </w:t>
      </w:r>
      <w:r>
        <w:rPr>
          <w:rFonts w:ascii="Arial;sans-serif" w:hAnsi="Arial;sans-serif"/>
          <w:b w:val="false"/>
          <w:color w:val="000000"/>
          <w:sz w:val="20"/>
          <w:u w:val="single"/>
        </w:rPr>
        <w:t>Shutdown or Divestiture</w:t>
      </w:r>
      <w:r>
        <w:rPr>
          <w:rFonts w:ascii="Arial;sans-serif" w:hAnsi="Arial;sans-serif"/>
          <w:b w:val="false"/>
          <w:color w:val="000000"/>
          <w:sz w:val="20"/>
        </w:rPr>
        <w:t>. In the event that more than six months after the Grant Date the Participant’s termination of employment is due to the shutdown or divestiture of the Corporation’s or its Affiliate’s business it shall result in pro rata vesting in the number of PRSUs earned. This pro rata vesting shall be determined based on the Target Level of PRSUs (including any accrued dividend equivalents accumulated pursuant to Section 2(a)) (1) prorated for the number of full months of employment during the Restricted Period prior to the Participant’s termination of employment, multiplied by (2) the Performance Goal percentage as approved and authorized by the Committee at the end of the Restricted Period. Any fractional share of the Corporation resulting from such a prorated award shall be rounded to the nearest whole share and shall be paid, along with any other shares earned under such prorated award, within 70 days following the end of the Restricted Period or within such later period as permitted by Section 409A of the Code. For the purposes of this Award, a shutdown or divestiture of the Corporation’s or its Affiliate’s business unit is defined as one for which the charges related to the shutdown or divestiture are accounted for, and reported externally, as an exit activity in the Corporation's applicable SEC filings. The Corporation has complete discretion to determine whether a shutdown or divestiture of a business unit has occurred under the terms of the Plan.</w:t>
      </w:r>
    </w:p>
    <w:p>
      <w:pPr>
        <w:pStyle w:val="TextBody"/>
        <w:bidi w:val="0"/>
        <w:spacing w:lineRule="auto" w:line="288" w:before="0" w:after="240"/>
        <w:jc w:val="left"/>
        <w:rPr/>
      </w:pPr>
      <w:r>
        <w:rPr>
          <w:rFonts w:ascii="Arial;sans-serif" w:hAnsi="Arial;sans-serif"/>
          <w:b w:val="false"/>
          <w:color w:val="000000"/>
          <w:sz w:val="20"/>
        </w:rPr>
        <w:t>(e)    </w:t>
      </w:r>
      <w:r>
        <w:rPr>
          <w:rFonts w:ascii="Arial;sans-serif" w:hAnsi="Arial;sans-serif"/>
          <w:b w:val="false"/>
          <w:color w:val="000000"/>
          <w:sz w:val="20"/>
          <w:u w:val="single"/>
        </w:rPr>
        <w:t>Qualified Termination of Employment</w:t>
      </w:r>
      <w:r>
        <w:rPr>
          <w:rFonts w:ascii="Arial;sans-serif" w:hAnsi="Arial;sans-serif"/>
          <w:b w:val="false"/>
          <w:color w:val="000000"/>
          <w:sz w:val="20"/>
        </w:rPr>
        <w:t>. In the event of a Qualified Termination of Employment, the Award which would have otherwise been forfeited will be handled consistent with Section 14(b) of the Plan and shall be paid within 10 days following the last day of employment of the Participant with the Corporation or an Affiliate. Notwithstanding anything in this Agreement to the contrary, to the extent that the Award may constitute “nonqualified deferred compensation” within the meaning of Section 409A of the Code, the payment of an Award to a Key Employee who has separated from service due to a Qualified Termination of Employment shall be made at the earlier of the first day of the seventh month following the date of separation from service or the end of the Restricted Period. A Key Employee is any Participant who meets the definition of a specified employee as defined in Section 409A(a)(2)(B)(i) of the Code and the regulations promulgated thereunder.</w:t>
      </w:r>
    </w:p>
    <w:p>
      <w:pPr>
        <w:pStyle w:val="TextBody"/>
        <w:bidi w:val="0"/>
        <w:spacing w:lineRule="auto" w:line="288" w:before="0" w:after="240"/>
        <w:jc w:val="left"/>
        <w:rPr/>
      </w:pPr>
      <w:r>
        <w:rPr>
          <w:rFonts w:ascii="Arial;sans-serif" w:hAnsi="Arial;sans-serif"/>
          <w:b w:val="false"/>
          <w:color w:val="000000"/>
          <w:sz w:val="20"/>
        </w:rPr>
        <w:t>(f)    </w:t>
      </w:r>
      <w:r>
        <w:rPr>
          <w:rFonts w:ascii="Arial;sans-serif" w:hAnsi="Arial;sans-serif"/>
          <w:b w:val="false"/>
          <w:color w:val="000000"/>
          <w:sz w:val="20"/>
          <w:u w:val="single"/>
        </w:rPr>
        <w:t>Payment of Awards</w:t>
      </w:r>
      <w:r>
        <w:rPr>
          <w:rFonts w:ascii="Arial;sans-serif" w:hAnsi="Arial;sans-serif"/>
          <w:b w:val="false"/>
          <w:color w:val="000000"/>
          <w:sz w:val="20"/>
        </w:rPr>
        <w:t xml:space="preserve">. Unless otherwise set forth herein, the payment of the Award, including any accrued dividend equivalents accumulated pursuant to Section 2(a), shall be made in shares of Common Stock and the payment of an Award shall be made within 70 days following the end of the Restricted Period. </w:t>
      </w:r>
    </w:p>
    <w:p>
      <w:pPr>
        <w:pStyle w:val="TextBody"/>
        <w:bidi w:val="0"/>
        <w:spacing w:lineRule="auto" w:line="288" w:before="0" w:after="240"/>
        <w:jc w:val="left"/>
        <w:rPr/>
      </w:pPr>
      <w:r>
        <w:rPr>
          <w:rFonts w:ascii="Arial;sans-serif" w:hAnsi="Arial;sans-serif"/>
          <w:b w:val="false"/>
          <w:color w:val="000000"/>
          <w:sz w:val="20"/>
        </w:rPr>
        <w:t>(g)    </w:t>
      </w:r>
      <w:r>
        <w:rPr>
          <w:rFonts w:ascii="Arial;sans-serif" w:hAnsi="Arial;sans-serif"/>
          <w:b w:val="false"/>
          <w:color w:val="000000"/>
          <w:sz w:val="20"/>
          <w:u w:val="single"/>
        </w:rPr>
        <w:t>Payment of Tax-Related Items</w:t>
      </w:r>
      <w:r>
        <w:rPr>
          <w:rFonts w:ascii="Arial;sans-serif" w:hAnsi="Arial;sans-serif"/>
          <w:b w:val="false"/>
          <w:color w:val="000000"/>
          <w:sz w:val="20"/>
        </w:rPr>
        <w:t xml:space="preserve">. No shares of Common Stock, nor any cash payment, may be delivered under this Award, unless prior to or simultaneously with such issuance, the Participant or, in the event of his death, the person succeeding to his rights hereunder, shall pay to the Corporation or an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7665"/>
                <wp:effectExtent l="0" t="0" r="0" b="0"/>
                <wp:wrapNone/>
                <wp:docPr id="41" name="Frame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Affiliate, as applicable, such amount as the Corporation advises is required under applicable federal, state or local laws to withhold and pay over to governmental taxing authorities in relation to this Award. The Corporation may, in its discretion, withhold payment of required Tax-Related items (as defined in the Acknowledgment of Conditions section) with cash or shares of Common Stock which otherwise would be delivered following the date of vesting of the Award under this Section 2. </w:t>
      </w:r>
    </w:p>
    <w:p>
      <w:pPr>
        <w:pStyle w:val="TextBody"/>
        <w:bidi w:val="0"/>
        <w:spacing w:lineRule="auto" w:line="288" w:before="0" w:after="240"/>
        <w:jc w:val="left"/>
        <w:rPr/>
      </w:pPr>
      <w:r>
        <w:rPr>
          <w:rFonts w:ascii="Arial;sans-serif" w:hAnsi="Arial;sans-serif"/>
          <w:b w:val="false"/>
          <w:color w:val="000000"/>
          <w:sz w:val="20"/>
        </w:rPr>
        <w:t>3.    </w:t>
      </w:r>
      <w:r>
        <w:rPr>
          <w:rFonts w:ascii="Arial;sans-serif" w:hAnsi="Arial;sans-serif"/>
          <w:b w:val="false"/>
          <w:color w:val="000000"/>
          <w:sz w:val="20"/>
          <w:u w:val="single"/>
        </w:rPr>
        <w:t>Nontransferability</w:t>
      </w:r>
      <w:r>
        <w:rPr>
          <w:rFonts w:ascii="Arial;sans-serif" w:hAnsi="Arial;sans-serif"/>
          <w:b w:val="false"/>
          <w:color w:val="000000"/>
          <w:sz w:val="20"/>
        </w:rPr>
        <w:t xml:space="preserve">. Neither the Award nor the Participant’s right to receive payment for vested Awards may be assigned or transferred except upon the death of the Participant (i) by will, or (ii) by the laws of descent and distribution. </w:t>
      </w:r>
    </w:p>
    <w:p>
      <w:pPr>
        <w:pStyle w:val="TextBody"/>
        <w:bidi w:val="0"/>
        <w:spacing w:lineRule="auto" w:line="288" w:before="0" w:after="240"/>
        <w:jc w:val="left"/>
        <w:rPr/>
      </w:pPr>
      <w:r>
        <w:rPr>
          <w:rFonts w:ascii="Arial;sans-serif" w:hAnsi="Arial;sans-serif"/>
          <w:b w:val="false"/>
          <w:color w:val="000000"/>
          <w:sz w:val="20"/>
        </w:rPr>
        <w:t>4.    </w:t>
      </w:r>
      <w:r>
        <w:rPr>
          <w:rFonts w:ascii="Arial;sans-serif" w:hAnsi="Arial;sans-serif"/>
          <w:b w:val="false"/>
          <w:color w:val="000000"/>
          <w:sz w:val="20"/>
          <w:u w:val="single"/>
        </w:rPr>
        <w:t>Compliance with Law</w:t>
      </w:r>
      <w:r>
        <w:rPr>
          <w:rFonts w:ascii="Arial;sans-serif" w:hAnsi="Arial;sans-serif"/>
          <w:b w:val="false"/>
          <w:color w:val="000000"/>
          <w:sz w:val="20"/>
        </w:rPr>
        <w:t>. No payment may be made under this Award, unless prior to the issuance thereof, the Corporation shall have received an opinion of counsel to the effect that this Award by the Corporation to the Participant will not constitute a violation of the U.S. Securities Act of 1933, as amended. As a condition of this Award, the Participant shall, if requested by the Corporation, submit a written statement in form satisfactory to counsel for the Corporation, to the effect that any shares received under this Award shall be for investment and not with a view to the distribution thereof within the meaning of the U.S. Securities Act of 1933, as amended, and the Corporation shall have the right, in its discretion, to cause the certificates representing shares hereunder to be appropriately legended to refer to such undertaking or to any legal restrictions imposed upon the transferability thereof by reason of such undertaking.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Award granted hereby is subject to the condition that if the listing, registration or qualification of the shares subject hereto on any securities exchange or under any state or federal law, or if the consent or approval of any regulatory body shall be necessary as a condition of, or in connection with, the granting of the Award or the delivery of shares thereunder, such shares may not be delivered unless and until such listing, registration, qualification, consent or approval shall have been effected or obtained. The Corporation agrees to use its best efforts to obtain any such requisite listing, registration, qualification, consent or approval.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is solely responsible for obtaining/providing whatever exchange control approvals, permits, licenses, or notices, which may be necessary for the Participant to hold the Award, or to receive any payment of cash or shares or to hold or sell the shares subject to the Award, if any. Neither the Corporation nor its Affiliates will be responsible for obtaining any such approvals, licenses or permits, or for making any such notices, nor will the Corporation or its Affiliates be liable for any fines or penalties the Participant may incur for failure to obtain any required approvals, permits or licenses or to make any required notices.</w:t>
      </w:r>
    </w:p>
    <w:p>
      <w:pPr>
        <w:pStyle w:val="TextBody"/>
        <w:bidi w:val="0"/>
        <w:spacing w:lineRule="auto" w:line="288" w:before="0" w:after="240"/>
        <w:jc w:val="left"/>
        <w:rPr/>
      </w:pPr>
      <w:r>
        <w:rPr>
          <w:rFonts w:ascii="Arial;sans-serif" w:hAnsi="Arial;sans-serif"/>
          <w:b w:val="false"/>
          <w:color w:val="000000"/>
          <w:sz w:val="20"/>
        </w:rPr>
        <w:t>5.    </w:t>
      </w:r>
      <w:r>
        <w:rPr>
          <w:rFonts w:ascii="Arial;sans-serif" w:hAnsi="Arial;sans-serif"/>
          <w:b w:val="false"/>
          <w:color w:val="000000"/>
          <w:sz w:val="20"/>
          <w:u w:val="single"/>
        </w:rPr>
        <w:t>No Right of Continued Employment</w:t>
      </w:r>
      <w:r>
        <w:rPr>
          <w:rFonts w:ascii="Arial;sans-serif" w:hAnsi="Arial;sans-serif"/>
          <w:b w:val="false"/>
          <w:color w:val="000000"/>
          <w:sz w:val="20"/>
        </w:rPr>
        <w:t>. The granting of this Award does not confer upon the Participant any legal right to be continued in the employ of the Corporation or its Affiliates, and the Corporation and its Affiliates reserve the right to discharge the Participant whenever the interest of the Corporation or its Affiliates may so require without liability to the Corporation or its Affiliates, the Board of Directors of the Corporation or its Affiliates, or the Committee, except as to any rights which may be expressly conferred on the Participant under this Award.</w:t>
      </w:r>
    </w:p>
    <w:p>
      <w:pPr>
        <w:pStyle w:val="TextBody"/>
        <w:bidi w:val="0"/>
        <w:spacing w:lineRule="auto" w:line="288" w:before="0" w:after="240"/>
        <w:jc w:val="left"/>
        <w:rPr/>
      </w:pPr>
      <w:r>
        <w:rPr>
          <w:rFonts w:ascii="Arial;sans-serif" w:hAnsi="Arial;sans-serif"/>
          <w:b w:val="false"/>
          <w:color w:val="000000"/>
          <w:sz w:val="20"/>
        </w:rPr>
        <w:t>6.    </w:t>
      </w:r>
      <w:r>
        <w:rPr>
          <w:rFonts w:ascii="Arial;sans-serif" w:hAnsi="Arial;sans-serif"/>
          <w:b w:val="false"/>
          <w:color w:val="000000"/>
          <w:sz w:val="20"/>
          <w:u w:val="single"/>
        </w:rPr>
        <w:t>Discretion of the Corporation, Board of Directors and the Committee</w:t>
      </w:r>
      <w:r>
        <w:rPr>
          <w:rFonts w:ascii="Arial;sans-serif" w:hAnsi="Arial;sans-serif"/>
          <w:b w:val="false"/>
          <w:color w:val="000000"/>
          <w:sz w:val="20"/>
        </w:rPr>
        <w:t xml:space="preserve">. Any decision made or action taken by the Corporation or by the Board of Directors of the Corporation or by the Committee arising out of or in connection with the construction, administration, interpretation and effect of this Award shall be within the absolute discretion of the Corporation, the Board of Directors of the Corporation or the Committee, as the case may be, and shall be conclusive and binding upon all persons. </w:t>
      </w:r>
    </w:p>
    <w:p>
      <w:pPr>
        <w:pStyle w:val="TextBody"/>
        <w:bidi w:val="0"/>
        <w:spacing w:lineRule="auto" w:line="288" w:before="0" w:after="240"/>
        <w:jc w:val="left"/>
        <w:rPr/>
      </w:pPr>
      <w:r>
        <w:rPr>
          <w:rFonts w:ascii="Arial;sans-serif" w:hAnsi="Arial;sans-serif"/>
          <w:b w:val="false"/>
          <w:color w:val="000000"/>
          <w:sz w:val="20"/>
        </w:rPr>
        <w:t>7.    </w:t>
      </w:r>
      <w:r>
        <w:rPr>
          <w:rFonts w:ascii="Arial;sans-serif" w:hAnsi="Arial;sans-serif"/>
          <w:b w:val="false"/>
          <w:color w:val="000000"/>
          <w:sz w:val="20"/>
          <w:u w:val="single"/>
        </w:rPr>
        <w:t>Inalienability of Benefits and Interest</w:t>
      </w:r>
      <w:r>
        <w:rPr>
          <w:rFonts w:ascii="Arial;sans-serif" w:hAnsi="Arial;sans-serif"/>
          <w:b w:val="false"/>
          <w:color w:val="000000"/>
          <w:sz w:val="20"/>
        </w:rPr>
        <w:t xml:space="preserve">. This Award and the rights and privileges conferred hereby shall not be subject in any manner to anticipation, alienation, sale, transfer, assignment, pledge, encumbrance or charge, and any such attempted action shall be void and no such benefit or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7665"/>
                <wp:effectExtent l="0" t="0" r="0" b="0"/>
                <wp:wrapNone/>
                <wp:docPr id="42" name="Frame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shall be in any manner liable for or subject to debts, contracts, liabilities, engagements, or torts of the Participant.</w:t>
      </w:r>
    </w:p>
    <w:p>
      <w:pPr>
        <w:pStyle w:val="TextBody"/>
        <w:bidi w:val="0"/>
        <w:spacing w:lineRule="auto" w:line="288" w:before="0" w:after="240"/>
        <w:jc w:val="left"/>
        <w:rPr/>
      </w:pPr>
      <w:r>
        <w:rPr>
          <w:rFonts w:ascii="Arial;sans-serif" w:hAnsi="Arial;sans-serif"/>
          <w:b w:val="false"/>
          <w:color w:val="000000"/>
          <w:sz w:val="20"/>
        </w:rPr>
        <w:t>8.    </w:t>
      </w:r>
      <w:r>
        <w:rPr>
          <w:rFonts w:ascii="Arial;sans-serif" w:hAnsi="Arial;sans-serif"/>
          <w:b w:val="false"/>
          <w:color w:val="000000"/>
          <w:sz w:val="20"/>
          <w:u w:val="single"/>
        </w:rPr>
        <w:t>Governing Law and Consent to Jurisdiction</w:t>
      </w:r>
      <w:r>
        <w:rPr>
          <w:rFonts w:ascii="Arial;sans-serif" w:hAnsi="Arial;sans-serif"/>
          <w:b w:val="false"/>
          <w:color w:val="000000"/>
          <w:sz w:val="20"/>
        </w:rPr>
        <w:t>. Subject to Section 19(i) below, all questions pertaining to the construction, interpretation, regulation, validity and effect of the provisions of this Award and any rights under the Plan shall be determined in accordance with the laws of the State of Delaware. The Corporation, its Affiliates, and the Participant (a) hereby irrevocably submit to the exclusive jurisdiction of the state and federal courts in the State of Delaware for the purposes of any claim or action arising out of or based upon this Award Agreement or relating to the subject matter hereof; (b) hereby waive, to the extent not prohibited by applicable law, and agree not to assert by way of motion, as a defense or otherwise, in any such claim or action, any claim that it, he or she is not subject personally to the jurisdiction of the above-named courts, that its, his or her property is exempt or immune from attachment or execution, that any such proceeding brought in the above-named court is improper or that this Award Agreement or the subject matter hereof may not be enforced in or by such court; and (c) hereby agree not to commence any claim or action arising out of or based upon this Award Agreement or relating to the subject matter hereof other than before the above-named courts nor to make any motion or take any other action seeking or intending to cause the transfer or removal of any such claim or action to any court other than the above-named courts whether on the grounds of inconvenient forum or otherwise; provided, however, that the Corporation, its Affiliates, and the Participant may seek to enforce a judgment issued by the above-named courts in any proper jurisdiction. The Corporation, its Affiliates, and the Participant hereby consent to service of process in any such proceeding, and agree that service of process by registered or certified mail, return receipt requested is reasonably calculated to give actual notice.</w:t>
      </w:r>
    </w:p>
    <w:p>
      <w:pPr>
        <w:pStyle w:val="TextBody"/>
        <w:bidi w:val="0"/>
        <w:spacing w:lineRule="auto" w:line="288" w:before="0" w:after="240"/>
        <w:jc w:val="left"/>
        <w:rPr/>
      </w:pPr>
      <w:r>
        <w:rPr>
          <w:rFonts w:ascii="Arial;sans-serif" w:hAnsi="Arial;sans-serif"/>
          <w:b w:val="false"/>
          <w:color w:val="000000"/>
          <w:sz w:val="20"/>
        </w:rPr>
        <w:t>9.    </w:t>
      </w:r>
      <w:r>
        <w:rPr>
          <w:rFonts w:ascii="Arial;sans-serif" w:hAnsi="Arial;sans-serif"/>
          <w:b w:val="false"/>
          <w:color w:val="000000"/>
          <w:sz w:val="20"/>
          <w:u w:val="single"/>
        </w:rPr>
        <w:t>Purchase of Common Stock</w:t>
      </w:r>
      <w:r>
        <w:rPr>
          <w:rFonts w:ascii="Arial;sans-serif" w:hAnsi="Arial;sans-serif"/>
          <w:b w:val="false"/>
          <w:color w:val="000000"/>
          <w:sz w:val="20"/>
        </w:rPr>
        <w:t>. The Corporation and its Affiliates may, but shall not be required to, purchase shares of Common Stock of the Corporation for purposes of satisfying the requirements of this Award. The Corporation and its Affiliates shall have no obligation to retain and shall have the unlimited right to sell or otherwise deal with for their own account, any shares of Common Stock of the Corporation purchased for satisfying the requirements of this Award.</w:t>
      </w:r>
    </w:p>
    <w:p>
      <w:pPr>
        <w:pStyle w:val="TextBody"/>
        <w:bidi w:val="0"/>
        <w:spacing w:lineRule="auto" w:line="288" w:before="0" w:after="240"/>
        <w:jc w:val="left"/>
        <w:rPr/>
      </w:pPr>
      <w:r>
        <w:rPr>
          <w:rFonts w:ascii="Arial;sans-serif" w:hAnsi="Arial;sans-serif"/>
          <w:b w:val="false"/>
          <w:color w:val="000000"/>
          <w:sz w:val="20"/>
        </w:rPr>
        <w:t>10.    </w:t>
      </w:r>
      <w:r>
        <w:rPr>
          <w:rFonts w:ascii="Arial;sans-serif" w:hAnsi="Arial;sans-serif"/>
          <w:b w:val="false"/>
          <w:color w:val="000000"/>
          <w:sz w:val="20"/>
          <w:u w:val="single"/>
        </w:rPr>
        <w:t>Notices</w:t>
      </w:r>
      <w:r>
        <w:rPr>
          <w:rFonts w:ascii="Arial;sans-serif" w:hAnsi="Arial;sans-serif"/>
          <w:b w:val="false"/>
          <w:color w:val="000000"/>
          <w:sz w:val="20"/>
        </w:rPr>
        <w:t>. Any notice to be given to the Corporation under this Award, except as required under Sections 19 and 20 below, shall be addressed to the Corporation in care of its Chief Human Resources Officer at Kimberly Clark, 351 Phelps Drive Irving, TX 75038, USA, and any notice to be given to the Participant under the terms of this Award may be addressed to him or her at the address as it appears on the Corporation's records, or at such other address as either party may hereafter designate in writing to the other. Any such notice shall be deemed to have been duly given if and when enclosed in a properly sealed envelope or wrapper addressed as aforesaid, registered and deposited, postage and registry fee prepaid, in a post office or branch post office regularly maintained by the United States Government or any equivalent non-U.S. postal service.</w:t>
      </w:r>
    </w:p>
    <w:p>
      <w:pPr>
        <w:pStyle w:val="TextBody"/>
        <w:bidi w:val="0"/>
        <w:spacing w:lineRule="auto" w:line="288" w:before="0" w:after="240"/>
        <w:jc w:val="left"/>
        <w:rPr/>
      </w:pPr>
      <w:r>
        <w:rPr>
          <w:rFonts w:ascii="Arial;sans-serif" w:hAnsi="Arial;sans-serif"/>
          <w:b w:val="false"/>
          <w:color w:val="000000"/>
          <w:sz w:val="20"/>
        </w:rPr>
        <w:t>11.    </w:t>
      </w:r>
      <w:r>
        <w:rPr>
          <w:rFonts w:ascii="Arial;sans-serif" w:hAnsi="Arial;sans-serif"/>
          <w:b w:val="false"/>
          <w:color w:val="000000"/>
          <w:sz w:val="20"/>
          <w:u w:val="single"/>
        </w:rPr>
        <w:t>Changes in Capitalization</w:t>
      </w:r>
      <w:r>
        <w:rPr>
          <w:rFonts w:ascii="Arial;sans-serif" w:hAnsi="Arial;sans-serif"/>
          <w:b w:val="false"/>
          <w:color w:val="000000"/>
          <w:sz w:val="20"/>
        </w:rPr>
        <w:t>. In the event there are any changes in the Common Stock or the capitalization of the Corporation through a corporate transaction, such as any merger, any acquisition through the issuance of capital stock of the Corporation, any consolidation, any separation of the Corporation (including a spin-off or other distribution of stock of the Corporation), any reorganization of the Corporation (whether or not such reorganization comes within the definition of such term in Section 368 of the Code), or any partial or complete liquidation by the Corporation, recapitalization, stock dividend, stock split or other change in the corporate structure, appropriate adjustments and changes shall be made by the Committee in (a) the number and type or class of shares subject to this Award, and (b) such other provisions of this Award as may be necessary and equitable to carry out the foregoing purposes.</w:t>
      </w:r>
    </w:p>
    <w:p>
      <w:pPr>
        <w:pStyle w:val="TextBody"/>
        <w:bidi w:val="0"/>
        <w:spacing w:lineRule="auto" w:line="288" w:before="0" w:after="240"/>
        <w:jc w:val="left"/>
        <w:rPr/>
      </w:pPr>
      <w:r>
        <w:rPr>
          <w:rFonts w:ascii="Arial;sans-serif" w:hAnsi="Arial;sans-serif"/>
          <w:b w:val="false"/>
          <w:color w:val="000000"/>
          <w:sz w:val="20"/>
        </w:rPr>
        <w:t>12.    </w:t>
      </w:r>
      <w:r>
        <w:rPr>
          <w:rFonts w:ascii="Arial;sans-serif" w:hAnsi="Arial;sans-serif"/>
          <w:b w:val="false"/>
          <w:color w:val="000000"/>
          <w:sz w:val="20"/>
          <w:u w:val="single"/>
        </w:rPr>
        <w:t>Effect on Other Plans</w:t>
      </w:r>
      <w:r>
        <w:rPr>
          <w:rFonts w:ascii="Arial;sans-serif" w:hAnsi="Arial;sans-serif"/>
          <w:b w:val="false"/>
          <w:color w:val="000000"/>
          <w:sz w:val="20"/>
        </w:rPr>
        <w:t xml:space="preserve">. All benefits under this Award shall constitute special incentives and shall not affect the level of benefits provided to or received by the Participant (or the Participant's estate or beneficiaries) as part of any employee benefit plan of the Corporation or an Affiliate. This Award shall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7665"/>
                <wp:effectExtent l="0" t="0" r="0" b="0"/>
                <wp:wrapNone/>
                <wp:docPr id="43" name="Frame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 be construed to affect in any way the Participant's rights and obligations under any other plan maintained by the Corporation or an Affiliate on behalf of employees.</w:t>
      </w:r>
    </w:p>
    <w:p>
      <w:pPr>
        <w:pStyle w:val="TextBody"/>
        <w:bidi w:val="0"/>
        <w:spacing w:lineRule="auto" w:line="288" w:before="0" w:after="240"/>
        <w:jc w:val="left"/>
        <w:rPr/>
      </w:pPr>
      <w:r>
        <w:rPr>
          <w:rFonts w:ascii="Arial;sans-serif" w:hAnsi="Arial;sans-serif"/>
          <w:b w:val="false"/>
          <w:color w:val="000000"/>
          <w:sz w:val="20"/>
        </w:rPr>
        <w:t>13.    </w:t>
      </w:r>
      <w:r>
        <w:rPr>
          <w:rFonts w:ascii="Arial;sans-serif" w:hAnsi="Arial;sans-serif"/>
          <w:b w:val="false"/>
          <w:color w:val="000000"/>
          <w:sz w:val="20"/>
          <w:u w:val="single"/>
        </w:rPr>
        <w:t>Discretionary Nature of Award</w:t>
      </w:r>
      <w:r>
        <w:rPr>
          <w:rFonts w:ascii="Arial;sans-serif" w:hAnsi="Arial;sans-serif"/>
          <w:b w:val="false"/>
          <w:color w:val="000000"/>
          <w:sz w:val="20"/>
        </w:rPr>
        <w:t>. The grant of an Award is a one-time benefit and does not create any contractual or other right to receive a grant of Awards or benefits in lieu of Awards in the future. Future grants, if any, will be at the sole discretion of the Corporation, including, but not limited to, the timing of any grant, the number of PRSUs and vesting provisions. The value of the Award is an extraordinary item outside the scope of the Participant’s employment contract, if any. As such, the Award is not part of normal or expected compensation for purposes of calculating any severance, resignation, termination, redundancy, dismissal, end of service payments, bonuses, long-service awards, leave-related payments, holiday pay, pension, retirement or welfare benefits or similar payments.</w:t>
      </w:r>
    </w:p>
    <w:p>
      <w:pPr>
        <w:pStyle w:val="TextBody"/>
        <w:bidi w:val="0"/>
        <w:spacing w:lineRule="auto" w:line="288" w:before="0" w:after="240"/>
        <w:jc w:val="left"/>
        <w:rPr/>
      </w:pPr>
      <w:r>
        <w:rPr>
          <w:rFonts w:ascii="Arial;sans-serif" w:hAnsi="Arial;sans-serif"/>
          <w:b w:val="false"/>
          <w:color w:val="000000"/>
          <w:sz w:val="20"/>
        </w:rPr>
        <w:t>14.    </w:t>
      </w:r>
      <w:r>
        <w:rPr>
          <w:rFonts w:ascii="Arial;sans-serif" w:hAnsi="Arial;sans-serif"/>
          <w:b w:val="false"/>
          <w:color w:val="000000"/>
          <w:sz w:val="20"/>
          <w:u w:val="single"/>
        </w:rPr>
        <w:t>Data Privacy</w:t>
      </w:r>
      <w:r>
        <w:rPr>
          <w:rFonts w:ascii="Arial;sans-serif" w:hAnsi="Arial;sans-serif"/>
          <w:b w:val="false"/>
          <w:color w:val="000000"/>
          <w:sz w:val="20"/>
        </w:rPr>
        <w:t>. The Participant hereby authorizes their actual employer (the “Employer”) to furnish the Corporation (and any agent of the Corporation administering the Plan or providing Plan recordkeeping services) with such information and data as it shall request in order to facilitate the grant of Awards and administration of the Plan and the Participant waives any data privacy rights such Participant might otherwise have with respect to such information. The Controller of personal data processing is Kimberly-Clark Corporation with registered offices at 351 Phelps Drive, Irving, Texas 75038, United States of America</w:t>
      </w:r>
      <w:r>
        <w:rPr>
          <w:rFonts w:ascii="Arial;sans-serif" w:hAnsi="Arial;sans-serif"/>
          <w:b/>
          <w:i/>
          <w:color w:val="000000"/>
          <w:sz w:val="20"/>
        </w:rPr>
        <w:t>.</w:t>
      </w:r>
    </w:p>
    <w:p>
      <w:pPr>
        <w:pStyle w:val="TextBody"/>
        <w:bidi w:val="0"/>
        <w:spacing w:lineRule="auto" w:line="288" w:before="0" w:after="240"/>
        <w:jc w:val="left"/>
        <w:rPr/>
      </w:pPr>
      <w:r>
        <w:rPr>
          <w:rFonts w:ascii="Arial;sans-serif" w:hAnsi="Arial;sans-serif"/>
          <w:b w:val="false"/>
          <w:color w:val="000000"/>
          <w:sz w:val="20"/>
        </w:rPr>
        <w:t>15.    </w:t>
      </w:r>
      <w:r>
        <w:rPr>
          <w:rFonts w:ascii="Arial;sans-serif" w:hAnsi="Arial;sans-serif"/>
          <w:b w:val="false"/>
          <w:color w:val="000000"/>
          <w:sz w:val="20"/>
          <w:u w:val="single"/>
        </w:rPr>
        <w:t>Conflict with Plan or Other Documents</w:t>
      </w:r>
      <w:r>
        <w:rPr>
          <w:rFonts w:ascii="Arial;sans-serif" w:hAnsi="Arial;sans-serif"/>
          <w:b w:val="false"/>
          <w:color w:val="000000"/>
          <w:sz w:val="20"/>
        </w:rPr>
        <w:t>. This Award is awarded pursuant to and subject to the Plan. This Agreement is intended to supplement and carry out the terms of the Plan. It is subject to all terms and provisions of the Plan and, in the event of a conflict, the Plan shall prevail. In the event of any conflict between this Agreement and the terms of any notice, communication, plan summary, prospectus or other ancillary documentation relating to the Award, this Agreement will prevail.</w:t>
      </w:r>
    </w:p>
    <w:p>
      <w:pPr>
        <w:pStyle w:val="TextBody"/>
        <w:bidi w:val="0"/>
        <w:spacing w:lineRule="auto" w:line="288" w:before="0" w:after="240"/>
        <w:jc w:val="left"/>
        <w:rPr/>
      </w:pPr>
      <w:r>
        <w:rPr>
          <w:rFonts w:ascii="Arial;sans-serif" w:hAnsi="Arial;sans-serif"/>
          <w:b w:val="false"/>
          <w:color w:val="000000"/>
          <w:sz w:val="20"/>
        </w:rPr>
        <w:t>16.    </w:t>
      </w:r>
      <w:r>
        <w:rPr>
          <w:rFonts w:ascii="Arial;sans-serif" w:hAnsi="Arial;sans-serif"/>
          <w:b w:val="false"/>
          <w:color w:val="000000"/>
          <w:sz w:val="20"/>
          <w:u w:val="single"/>
        </w:rPr>
        <w:t>Successors</w:t>
      </w:r>
      <w:r>
        <w:rPr>
          <w:rFonts w:ascii="Arial;sans-serif" w:hAnsi="Arial;sans-serif"/>
          <w:b w:val="false"/>
          <w:color w:val="000000"/>
          <w:sz w:val="20"/>
        </w:rPr>
        <w:t>. This Award Agreement, including but not limited to the restrictive covenants described in Sections 19 and 20 below, shall be binding upon and inure to the benefit of any successor or successors of the Corporation.</w:t>
      </w:r>
    </w:p>
    <w:p>
      <w:pPr>
        <w:pStyle w:val="TextBody"/>
        <w:bidi w:val="0"/>
        <w:spacing w:lineRule="auto" w:line="288" w:before="0" w:after="240"/>
        <w:jc w:val="left"/>
        <w:rPr/>
      </w:pPr>
      <w:r>
        <w:rPr>
          <w:rFonts w:ascii="Arial;sans-serif" w:hAnsi="Arial;sans-serif"/>
          <w:b w:val="false"/>
          <w:color w:val="000000"/>
          <w:sz w:val="20"/>
        </w:rPr>
        <w:t>17.    </w:t>
      </w:r>
      <w:r>
        <w:rPr>
          <w:rFonts w:ascii="Arial;sans-serif" w:hAnsi="Arial;sans-serif"/>
          <w:b w:val="false"/>
          <w:color w:val="000000"/>
          <w:sz w:val="20"/>
          <w:u w:val="single"/>
        </w:rPr>
        <w:t>Amendments</w:t>
      </w:r>
      <w:r>
        <w:rPr>
          <w:rFonts w:ascii="Arial;sans-serif" w:hAnsi="Arial;sans-serif"/>
          <w:b w:val="false"/>
          <w:color w:val="000000"/>
          <w:sz w:val="20"/>
        </w:rPr>
        <w:t>. The Committee may at any time alter or amend this Award to the extent (a) permitted by law, (b) permitted by the rules of any stock exchange on which the Common Stock or any other security of the Corporation is listed, and (c) permitted under applicable provisions of the U.S. Securities Act of 1933, as amended, the U.S. Securities Exchange Act of 1934, as amended (including rule 16b-3 thereof).</w:t>
      </w:r>
    </w:p>
    <w:p>
      <w:pPr>
        <w:pStyle w:val="TextBody"/>
        <w:bidi w:val="0"/>
        <w:spacing w:lineRule="auto" w:line="288" w:before="0" w:after="240"/>
        <w:jc w:val="left"/>
        <w:rPr/>
      </w:pPr>
      <w:r>
        <w:rPr>
          <w:rFonts w:ascii="Arial;sans-serif" w:hAnsi="Arial;sans-serif"/>
          <w:b w:val="false"/>
          <w:color w:val="000000"/>
          <w:sz w:val="20"/>
        </w:rPr>
        <w:t>18.    </w:t>
      </w:r>
      <w:r>
        <w:rPr>
          <w:rFonts w:ascii="Arial;sans-serif" w:hAnsi="Arial;sans-serif"/>
          <w:b w:val="false"/>
          <w:color w:val="000000"/>
          <w:sz w:val="20"/>
          <w:u w:val="single"/>
        </w:rPr>
        <w:t>Defined Terms</w:t>
      </w:r>
      <w:r>
        <w:rPr>
          <w:rFonts w:ascii="Arial;sans-serif" w:hAnsi="Arial;sans-serif"/>
          <w:b w:val="false"/>
          <w:color w:val="000000"/>
          <w:sz w:val="20"/>
        </w:rPr>
        <w:t>. Terms which are capitalized are defined herein or in the Plan and have the same meaning set forth in the Plan, unless the context indicates otherwise.</w:t>
      </w:r>
    </w:p>
    <w:p>
      <w:pPr>
        <w:pStyle w:val="TextBody"/>
        <w:bidi w:val="0"/>
        <w:spacing w:lineRule="auto" w:line="288" w:before="0" w:after="0"/>
        <w:ind w:left="0" w:right="0" w:hanging="720"/>
        <w:jc w:val="left"/>
        <w:rPr/>
      </w:pPr>
      <w:r>
        <w:rPr>
          <w:rFonts w:ascii="Arial;sans-serif" w:hAnsi="Arial;sans-serif"/>
          <w:b w:val="false"/>
          <w:color w:val="000000"/>
          <w:sz w:val="20"/>
        </w:rPr>
        <w:t>19.    </w:t>
      </w:r>
      <w:r>
        <w:rPr>
          <w:rFonts w:ascii="Arial;sans-serif" w:hAnsi="Arial;sans-serif"/>
          <w:b w:val="false"/>
          <w:color w:val="000000"/>
          <w:sz w:val="20"/>
          <w:u w:val="single"/>
        </w:rPr>
        <w:t>Restrictive Covenants For U.S. Participants</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w:t>
      </w:r>
      <w:r>
        <w:rPr>
          <w:rFonts w:ascii="Arial;sans-serif" w:hAnsi="Arial;sans-serif"/>
          <w:b w:val="false"/>
          <w:color w:val="000000"/>
          <w:sz w:val="20"/>
          <w:u w:val="single"/>
        </w:rPr>
        <w:t>Application</w:t>
      </w:r>
      <w:r>
        <w:rPr>
          <w:rFonts w:ascii="Arial;sans-serif" w:hAnsi="Arial;sans-serif"/>
          <w:b w:val="false"/>
          <w:color w:val="000000"/>
          <w:sz w:val="20"/>
        </w:rPr>
        <w:t xml:space="preserve">. The provisions of this Section 19 apply to Participants who are employed by the Corporation or an Affiliate located in the United States and are subject to the laws of the United States as of the date of termination of the Participant's employment; provided, however, that to the extent the Participant is party to an employment or other agreement with the Corporation or any Affiliate containing non-competition, non-solicitation, confidentiality, business ideas or similar restrictions (a “standalone restrictive covenant agreement”), whether or not such standalone restrictive covenant agreement has been agreed to before or after execution of this Award Agreement, that standalone restrictive covenant agreement and related enforcement provisions shall apply and the following provisions of this Section 19 shall also apply, unless otherwise determined by the Corporation in its sole discretion. Notwithstanding the foregoing, Section 19(m) below shall apply in any case.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(b)</w:t>
      </w:r>
      <w:r>
        <w:rPr>
          <w:rFonts w:ascii="Arial;sans-serif" w:hAnsi="Arial;sans-serif"/>
          <w:b w:val="false"/>
          <w:color w:val="000000"/>
          <w:sz w:val="20"/>
          <w:u w:val="single"/>
        </w:rPr>
        <w:t>Non-Competition</w:t>
      </w:r>
      <w:r>
        <w:rPr>
          <w:rFonts w:ascii="Arial;sans-serif" w:hAnsi="Arial;sans-serif"/>
          <w:b w:val="false"/>
          <w:color w:val="000000"/>
          <w:sz w:val="20"/>
        </w:rPr>
        <w:t xml:space="preserve">. Subject to Section 19(i), it is acknowledged that the Participant has acquired or will acquire Confidential Information during the Participant’s employment with the Corporation or any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44"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6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6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Affiliate, and should the Participant’s employment cease, the Participant will inevitably use or disclose the Corporation’s or an Affiliate’s Confidential Information while working in a competitive role. It is further acknowledged that it may be difficult to police Section 19(e) below, prohibiting the disclosure of such Confidential Information as well as the non-solicitation sub-sections set out below. For these reasons, during the term of the Participant’s employment with the Corporation or any Affiliate and for the applicable period listed in Appendix B of this Award Agreement following the termination of Participant’s employment with the Corporation or any Affiliate, regardless of the reason for or the manner of termination, the Participant shall not, in any country or countries for which the Participant had development, marketing, innovation/technology (R&amp;D), distribution, sales, administrative, operational/supply chain, manufacturing oversight, or other responsibilities during the last two (2) years of the Participant’s employment or was provided with regular and material access to Confidential Information regarding the Corporation’s or an Affiliate's business operations in that country or countries during the last two (2) years of the Participant’s employment, either directly or indirectly, perform duties or undertake responsibilities (including without limitation as an employee, employer, owner, operator, manager, advisor, consultant, contractor, agent, partner, director, officer, volunteer, intern, or any other similar capacity) for a Competitor (as defined below) that are the same or substantially similar to those duties or responsibilities that the Participant performed or undertook for the Corporation or an Affiliate during the two (2) year period prior to the end of the Participant’s employment with the Corporation or an Affiliate. “Confidential Information,” for purposes of this Section 19, shall mean (i) statutory trade secrets; (ii) proprietary information developed or acquired by the Corporation that does not rise to the level of a statutorily protectable trade secret and is made the property of the Corporation through this mutual Agreement of the parties; and (iii) information that is otherwise legally protectable. Such Confidential Information includes, but is not limited to, information in whatever form (including, without limitation, in written, oral, visual or electronic form or on any magnetic or optical disk or memory storage medium, as well as other physical items wherever located, and abstracts or summaries of the foregoing) relating to the business, suppliers, customers, products, affairs and finances of the Corporation or any Affiliate for the time being confidential to the Corporation or any Affiliate, ideas, conceptions, compilations of data, and developments created by the Corporation, whether or not patentable and whether or not copyrightable, and trade secrets including, without limitation, technical data and know-how relating to the business of the Corporation or any Affiliate, or any of their suppliers, customers, agents, distributors, shareholders or management, including (but not limited to) business plans, pricing strategies, financial information, patent rights, patent applications, information concerning tenders and potential contracts, information concerning proposed product ranges, product development information, employee and salary information, research and development activities or manufacturing methods that the Participant creates, develops, receives, obtains or has knowledge of in connection with the Participant’s employment, and all other matters which relate to the business of the Corporation or any Affiliate and in respect of which information is not readily available in the ordinary course of such business to the Corporation's Competitors, whether or not such information (if in anything other than oral form) is marked confidential. “Competitor,” for purposes of this Section 19, means a person or entity who engages in a business that is the same or substantially the same as any aspect of the Business of the Corporation. “Business of the Corporation,” for purposes of this Section 19, is the development, production, sales and/or marketing of (i) health and hygiene products and related apparel; (ii) washroom and workplace protective and safety products; (iii) any product for which the Participant had development, marketing, innovation/technology (R&amp;D), distribution, sales, administrative, operational/supply chain, manufacturing oversight, or other responsibilities or was provided with regular and material access to Confidential Information; and (iv) the materials, packaging and other components/subcomponents of such products including, without limitation, non-wood plants and products derived therefrom including any fibers, pulps or extracts.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(c)</w:t>
      </w:r>
      <w:r>
        <w:rPr>
          <w:rFonts w:ascii="Arial;sans-serif" w:hAnsi="Arial;sans-serif"/>
          <w:b w:val="false"/>
          <w:color w:val="000000"/>
          <w:sz w:val="20"/>
          <w:u w:val="single"/>
        </w:rPr>
        <w:t>Non-Solicitation of Employees</w:t>
      </w:r>
      <w:r>
        <w:rPr>
          <w:rFonts w:ascii="Arial;sans-serif" w:hAnsi="Arial;sans-serif"/>
          <w:b w:val="false"/>
          <w:color w:val="000000"/>
          <w:sz w:val="20"/>
        </w:rPr>
        <w:t xml:space="preserve">. Subject to Section 19(i), for a period of two (2) years following the termination of employment, regardless of the reason for or the manner of termination, the Participant shall not,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or (ii) be otherwise involved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45"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7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7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recruitment of such person, to leave the employment of the Corporation or of any Affiliate. Furthermore, the Participant shall not for a period of two (2) years following the termination date, regardless of the reason for or the manner of termination,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to become employed by, associated with and/or form part of any business or concern, in any capacity whatsoever, of any Competitor or (ii) be otherwise involved in the recruitment of such person to become employed by, associated with and/or form part of any business or concern, in any capacity whatsoever, of any Competitor. The Participant must inform the Corporation immediately on becoming aware of any such recruitment.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(d)</w:t>
      </w:r>
      <w:r>
        <w:rPr>
          <w:rFonts w:ascii="Arial;sans-serif" w:hAnsi="Arial;sans-serif"/>
          <w:b w:val="false"/>
          <w:color w:val="000000"/>
          <w:sz w:val="20"/>
          <w:u w:val="single"/>
        </w:rPr>
        <w:t>Non-Solicitation of Business</w:t>
      </w:r>
      <w:r>
        <w:rPr>
          <w:rFonts w:ascii="Arial;sans-serif" w:hAnsi="Arial;sans-serif"/>
          <w:b w:val="false"/>
          <w:color w:val="000000"/>
          <w:sz w:val="20"/>
        </w:rPr>
        <w:t>. Subject to Section 19(i), during the term of the Participant’s employment and for a period of two (2) years following the termination of employment, regardless of the reason for or the manner of termination, the Participant shall not, either directly or indirectly, on the Participant’s own behalf or on behalf of any other person, firm or company or other entity, solicit, interfere with, entice or endeavor to entice away from the Corporation or any Affiliate any Restricted Customer (as defined below), or seek to conduct Restricted Business (as defined below), or conduct Restricted Business, with any Restricted Customer and/or otherwise persuade, induce, solicit or encourage any person or entity to terminate its contractual relationship with the Corporation or any Affiliate. “Restricted Business,” for purposes of this Section 19, means any business activity carried out by the Participant for the Corporation or any Affiliate during the last two (2) years preceding the Participant’s termination date. “Restricted Customer,” for purposes of this Section 19, means any person, firm or company or other entity who was a customer or distributor of the Corporation or any Affiliate as at the Participant’s termination date, or during the last two (2) years preceding the Participant’s termination date, and (i) with whom the Participant had material contact at the Participant’s termination date or during the last two (2) years preceding the Participant’s termination date, or (ii) in respect of whom, as at the Participant’s termination date or during the last two (2) years preceding the Participant’s termination date, the Participant had Confidential Information, including any Prospective Customer. “Prospective Customer,” for purposes of this Section 19, means any person, firm or company or other entity with whom the Corporation or any Affiliate was involved in negotiations as at the Participant’s termination date or during the last two (2) years preceding the Participant’s termination date, with a view to dealing with it as a customer and/or to conclude a contractual relationship with such entity, and where such negotiations have involved more than nominal expense or time commitment, and/or with whom the Participant had contact at the Participant’s termination date or during the last two (2) years preceding the Participant’s termination date with a view to dealing with it as a customer of the Corporation or any Affiliate and/or to conclude a contractual relationship with such entity or in respect of whom, as at the Participant’s termination date or during the last two (2) years preceding the Participant’s termination date, the Participant had Confidential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(e)</w:t>
      </w:r>
      <w:r>
        <w:rPr>
          <w:rFonts w:ascii="Arial;sans-serif" w:hAnsi="Arial;sans-serif"/>
          <w:b w:val="false"/>
          <w:color w:val="000000"/>
          <w:sz w:val="20"/>
          <w:u w:val="single"/>
        </w:rPr>
        <w:t>Confidentiality</w:t>
      </w:r>
      <w:r>
        <w:rPr>
          <w:rFonts w:ascii="Arial;sans-serif" w:hAnsi="Arial;sans-serif"/>
          <w:b w:val="false"/>
          <w:color w:val="000000"/>
          <w:sz w:val="20"/>
        </w:rPr>
        <w:t xml:space="preserve">. Subject to Sections 19(f) and 19(i), the Participant acknowledges that the Corporation and its Affiliates continually develop Confidential Information, that the Participant may develop Confidential Information for the Corporation or its Affiliates and that the Participant may learn of Confidential Information during the course of the employment relationship. The Corporation has expended and will continue to expend substantial effort and monies in acquiring knowledge and expertise in developing goodwill in the Business of the Corporation. Participant therefore agrees as follows: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i.The Participant will comply with the policies and procedures of the Corporation for protecting Confidential Information and shall not disclose to any person or use, other than as required by applicable law or for the proper performance of the Participant’s duties and responsibilities to the Corporation and its Affiliates, any Confidential Information obtained by the Participant.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7665"/>
                <wp:effectExtent l="0" t="0" r="0" b="0"/>
                <wp:wrapNone/>
                <wp:docPr id="46"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8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8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ii.The Participant understands that the restrictions set forth in this Section 19(e) shall continue to apply after the employment relationship terminates, regardless of the reason for such termination. The Participant understands and acknowledges that the Participant's obligations under this Award Agreement with regard to any particular Confidential Information shall commence immediately upon the Participant first having access to such Confidential Information and shall continue during and after employment with the Corporation or an Affiliate until such time as such Confidential Information has become public knowledge other than as a result of the Participant's breach of this Award Agreement or breach by those acting in concert with the Participant or on the Participant's behalf, and shall be indefinite where permitted by state and local law, and shall not continue longer than two (2) years where indefinite confidentiality provisions are not permitted. Notwithstanding, the Participant’s confidentiality obligations under this Award Agreement with regard to any trade secrets shall continue during and after the Participant 's employment by the Corporation or an Affiliate until such trade secrets are no longer trade secrets under applicable law.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w:t>
      </w:r>
      <w:r>
        <w:rPr>
          <w:rFonts w:ascii="Arial;sans-serif" w:hAnsi="Arial;sans-serif"/>
          <w:b w:val="false"/>
          <w:color w:val="000000"/>
          <w:sz w:val="20"/>
          <w:u w:val="single"/>
        </w:rPr>
        <w:t>Protected Rights</w:t>
      </w:r>
      <w:r>
        <w:rPr>
          <w:rFonts w:ascii="Arial;sans-serif" w:hAnsi="Arial;sans-serif"/>
          <w:b w:val="false"/>
          <w:color w:val="000000"/>
          <w:sz w:val="20"/>
        </w:rPr>
        <w:t>. Notwithstanding any other provision of this Award Agreement, nothing in this Award Agreement shall restrict the Participant’s right to (i) report violations of law to law enforcement officials; (ii) give truthful testimony under oath in a judicial, administrative, or arbitral proceeding; (iii) file a charge with, make truthful statements to, cooperate with investigations by, or assist others in proceedings before state or federal governmental agencies or any other self-regulatory organization (including the U.S. Equal Employment Opportunity Commission, the National Labor Relations Board, the Financial Industry Regulatory Authority, and the U.S. Securities and Exchange Commission); (iv) speak with an attorney representing the Participant; (v) discuss the facts related to any claim of sexual assault or sexual harassment; (vi) engage in whistle-blower activity protected by the Securities Exchange Act of 1934, the Dodd-Frank Wall Street Reform and Consumer Protection Act, or any rules or regulations issued thereunder (including Rule 21F-17); (vii) file or disclose any facts necessary to receive unemployment insurance, Medicaid, or other public benefits to which the Participant may be entitled; (viii) exercise rights under Section 7 of the National Labor Relations Act, including the right to discuss terms and conditions of employment with co-workers and labor unions; or (ix) otherwise disclose information that Participant is legally entitled to disclose pursuant to applicable law, provided that the disclosure does not exceed the extent of disclosure required by law. The Participant shall promptly provide written notice of any order to disclose Confidential Information to an authorized officer of the Corporation or its Affiliates. In addition, pursuant to the Defend Trade Secrets Act of 2016, (i) the Participant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(ii) the Participant agrees and understands that individuals may disclose trade secrets in a complaint, or other document, filed in a lawsuit, or other proceeding, if such filing is made under seal; and (iii) the Participant agrees and understands that an individual who files a lawsuit alleging retaliation by the Corporation or its Affiliates for reporting a suspected violation of the law may disclose the trade secret to the attorney of the individual and use the trade secret in the court proceeding, if the individual files any document containing the trade secret under seal and does not disclose the trade secret, except pursuant to court order. For the avoidance of doubt, the Participant’s past, present or future exercise of any rights described in this Section 19(f) shall not constitute a breach of this Award Agreement.</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(g)</w:t>
      </w:r>
      <w:r>
        <w:rPr>
          <w:rFonts w:ascii="Arial;sans-serif" w:hAnsi="Arial;sans-serif"/>
          <w:b w:val="false"/>
          <w:color w:val="000000"/>
          <w:sz w:val="20"/>
          <w:u w:val="single"/>
        </w:rPr>
        <w:t>Business Ideas</w:t>
      </w:r>
      <w:r>
        <w:rPr>
          <w:rFonts w:ascii="Arial;sans-serif" w:hAnsi="Arial;sans-serif"/>
          <w:b w:val="false"/>
          <w:color w:val="000000"/>
          <w:sz w:val="20"/>
        </w:rPr>
        <w:t xml:space="preserve">. Subject to Section 19(i), the Participant acknowledges that the Corporation owns all rights in all Business Ideas (as defined below). For the avoidance of doubt, in the event an assignment is needed during the term of the Participant's employment with the Corporation or any Affiliate and at any time following the termination of employment, the Participant hereby assigns without further action being required to the Corporation all Business Ideas. The Participant shall promptly execute all documents which the Corporation may reasonably require to perfect, maintain and protect its patent, copyright, trade secret, trademark and any and all other rights to such Business Ideas throughout the world, and shall provide other reasonable assistance and cooperation as may be necessary for the Corporation to investigate, perfect, maintain and protect those rights,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7665"/>
                <wp:effectExtent l="0" t="0" r="0" b="0"/>
                <wp:wrapNone/>
                <wp:docPr id="47"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9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9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assistance and cooperation with litigation relating to any Business Ideas. Even after the Participant's employment with the Corporation or any Affiliate terminates, the Participant will continue to be reasonably available to assist the Corporation with its efforts to investigate, perfect, maintain and protect rights in any Business Ideas, including assistance with litigation relating to any Business Ideas. “Business Ideas” as used in this Award Agreement means all ideas, concepts, innovations, inventions, strategy, data, developments, and works of authorship, whether or not patentable, both technical and business, which the Participant originates, conceives or develops, either alone or in conjunction with others, at any time during the Participant's employment with the Corporation or any Affiliate, except those which satisfy all three of the following criteria: (i) unrelated to the Corporation’s business; (ii) not originated, conceived or developed during the Participant's working hours; and (iii) not originated, conceived or developed by use of any Corporation property such as tools, supplies, equipment, materials, facilities or other Corporation employees. Any idea, concept, innovation, invention, strategy, data, development or work of authorship that the Participant originates, conceives or develops, through the use of Corporation Confidential Information, at any time within six (6) months after the Participant's employment with the Corporation or any Affiliate terminates (for any reason) will be presumed to be a Business Idea unless the Participant can prove otherwise by clear and convincing evidence.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(h)</w:t>
      </w:r>
      <w:r>
        <w:rPr>
          <w:rFonts w:ascii="Arial;sans-serif" w:hAnsi="Arial;sans-serif"/>
          <w:b w:val="false"/>
          <w:color w:val="000000"/>
          <w:sz w:val="20"/>
          <w:u w:val="single"/>
        </w:rPr>
        <w:t>Rights to Photographs, Videos, Recordings, and Electronic Images/Waiver of Publicity Rights</w:t>
      </w:r>
      <w:r>
        <w:rPr>
          <w:rFonts w:ascii="Arial;sans-serif" w:hAnsi="Arial;sans-serif"/>
          <w:b w:val="false"/>
          <w:color w:val="000000"/>
          <w:sz w:val="20"/>
        </w:rPr>
        <w:t>. Subject to Section 19(i), the Participant agrees that the Corporation and its licensee may, and are entitled to, use, exploit, publish, and copyright photographs, videos, audio, and other recordings and electronic images, icons, or figures of or representing Participant (collectively, the “Performance”) relating in any way to the Business of the Corporation that are made during the term of the Participant’s employment (and any derivative works made thereafter), and that the Corporation shall have all of Participant’s rights, title, and interest (if any) in, to, and under any such Performance including, without limitation, privacy, copyright, moral right, and rights of publicity. The Corporation and its licensees may use such Performance without further compensation or any other additional consideration, for any advertising, publishing, social media, or other business or commercial purposes on behalf of the Company both during or after the term of the Participant’s employment.</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(i)</w:t>
      </w:r>
      <w:r>
        <w:rPr>
          <w:rFonts w:ascii="Arial;sans-serif" w:hAnsi="Arial;sans-serif"/>
          <w:b w:val="false"/>
          <w:color w:val="000000"/>
          <w:sz w:val="20"/>
          <w:u w:val="single"/>
        </w:rPr>
        <w:t>State-Specific Provisions</w:t>
      </w:r>
      <w:r>
        <w:rPr>
          <w:rFonts w:ascii="Arial;sans-serif" w:hAnsi="Arial;sans-serif"/>
          <w:b w:val="false"/>
          <w:color w:val="000000"/>
          <w:sz w:val="20"/>
        </w:rPr>
        <w:t>.</w:t>
      </w:r>
      <w:r>
        <w:rPr>
          <w:color w:val="000000"/>
        </w:rPr>
        <w:t xml:space="preserve">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i.If the Participant lives or works in </w:t>
      </w:r>
      <w:r>
        <w:rPr>
          <w:rFonts w:ascii="Arial;sans-serif" w:hAnsi="Arial;sans-serif"/>
          <w:b/>
          <w:color w:val="000000"/>
          <w:sz w:val="20"/>
        </w:rPr>
        <w:t xml:space="preserve">California </w:t>
      </w:r>
      <w:r>
        <w:rPr>
          <w:rFonts w:ascii="Arial;sans-serif" w:hAnsi="Arial;sans-serif"/>
          <w:b w:val="false"/>
          <w:color w:val="000000"/>
          <w:sz w:val="20"/>
        </w:rPr>
        <w:t xml:space="preserve">at the time of or after termination of employment, (A) Section 19(b), Section 19(c), and Section 19(d) do not apply after the Participant’s employment with the Corporation or its Affiliates ends, and (B) the Participant and the Corporation and its Affiliates agree to the exclusive jurisdiction of the state and federal courts of California for any dispute arising under this Agreement and that this Agreement shall be governed by California law.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ii.If the Participant primarily lives or works in </w:t>
      </w:r>
      <w:r>
        <w:rPr>
          <w:rFonts w:ascii="Arial;sans-serif" w:hAnsi="Arial;sans-serif"/>
          <w:b/>
          <w:color w:val="000000"/>
          <w:sz w:val="20"/>
        </w:rPr>
        <w:t>Colorado</w:t>
      </w:r>
      <w:r>
        <w:rPr>
          <w:color w:val="000000"/>
        </w:rPr>
        <w:t xml:space="preserve"> </w:t>
      </w:r>
      <w:r>
        <w:rPr>
          <w:rFonts w:ascii="Arial;sans-serif" w:hAnsi="Arial;sans-serif"/>
          <w:b w:val="false"/>
          <w:color w:val="000000"/>
          <w:sz w:val="20"/>
        </w:rPr>
        <w:t xml:space="preserve">at the time of termination of employment, the Participant and the Corporation and its Affiliates agree to the exclusive jurisdiction of the state and federal courts of Colorado for any dispute arising under Section 19(b) or Section 19(d) and that those Sections shall be governed by Colorado law.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iii.If the Participant’s principal place of employment is </w:t>
      </w:r>
      <w:r>
        <w:rPr>
          <w:rFonts w:ascii="Arial;sans-serif" w:hAnsi="Arial;sans-serif"/>
          <w:b/>
          <w:color w:val="000000"/>
          <w:sz w:val="20"/>
        </w:rPr>
        <w:t>Minnesota</w:t>
      </w:r>
      <w:r>
        <w:rPr>
          <w:rFonts w:ascii="Arial;sans-serif" w:hAnsi="Arial;sans-serif"/>
          <w:b w:val="false"/>
          <w:color w:val="000000"/>
          <w:sz w:val="20"/>
        </w:rPr>
        <w:t>, Section 19(b) does not apply after the Participant’s employment with the Corporation or its Affiliates ends.</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iv.If the Participant’s principal place of employment is </w:t>
      </w:r>
      <w:r>
        <w:rPr>
          <w:rFonts w:ascii="Arial;sans-serif" w:hAnsi="Arial;sans-serif"/>
          <w:b/>
          <w:color w:val="000000"/>
          <w:sz w:val="20"/>
        </w:rPr>
        <w:t>North Dakota</w:t>
      </w:r>
      <w:r>
        <w:rPr>
          <w:rFonts w:ascii="Arial;sans-serif" w:hAnsi="Arial;sans-serif"/>
          <w:b w:val="false"/>
          <w:color w:val="000000"/>
          <w:sz w:val="20"/>
        </w:rPr>
        <w:t>, Section 19(b) and Section 19(d) do not apply after the Participant’s employment with the Corporation or its Affiliates ends.</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v.If the Participant’s principal place of employment is </w:t>
      </w:r>
      <w:r>
        <w:rPr>
          <w:rFonts w:ascii="Arial;sans-serif" w:hAnsi="Arial;sans-serif"/>
          <w:b/>
          <w:color w:val="000000"/>
          <w:sz w:val="20"/>
        </w:rPr>
        <w:t>Oklahoma</w:t>
      </w:r>
      <w:r>
        <w:rPr>
          <w:rFonts w:ascii="Arial;sans-serif" w:hAnsi="Arial;sans-serif"/>
          <w:b w:val="false"/>
          <w:color w:val="000000"/>
          <w:sz w:val="20"/>
        </w:rPr>
        <w:t>, Section 19(b) and Section 19(d) do not apply after the Participant’s employment with the Corporation or its Affiliates ends.</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7665"/>
                <wp:effectExtent l="0" t="0" r="0" b="0"/>
                <wp:wrapNone/>
                <wp:docPr id="48"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10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10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rFonts w:ascii="Arial;sans-serif" w:hAnsi="Arial;sans-serif"/>
          <w:b w:val="false"/>
          <w:color w:val="000000"/>
          <w:sz w:val="20"/>
        </w:rPr>
        <w:t xml:space="preserve">vi.If the Participant’s principal place of employment is </w:t>
      </w:r>
      <w:r>
        <w:rPr>
          <w:rFonts w:ascii="Arial;sans-serif" w:hAnsi="Arial;sans-serif"/>
          <w:b/>
          <w:color w:val="000000"/>
          <w:sz w:val="20"/>
        </w:rPr>
        <w:t>Washington</w:t>
      </w:r>
      <w:r>
        <w:rPr>
          <w:rFonts w:ascii="Arial;sans-serif" w:hAnsi="Arial;sans-serif"/>
          <w:b w:val="false"/>
          <w:color w:val="000000"/>
          <w:sz w:val="20"/>
        </w:rPr>
        <w:t>, the Participant and the Corporation and its Affiliates agree to the exclusive jurisdiction of the state and federal courts of Washington for any dispute arising under Section 19(b) and that Section 19(b) shall be governed by Washington law.</w:t>
      </w:r>
    </w:p>
    <w:p>
      <w:pPr>
        <w:pStyle w:val="TextBody"/>
        <w:bidi w:val="0"/>
        <w:spacing w:lineRule="auto" w:line="288" w:before="0" w:after="0"/>
        <w:ind w:left="0" w:right="0" w:hanging="360"/>
        <w:jc w:val="left"/>
        <w:rPr/>
      </w:pPr>
      <w:r>
        <w:rPr>
          <w:rFonts w:ascii="Arial;sans-serif" w:hAnsi="Arial;sans-serif"/>
          <w:b w:val="false"/>
          <w:color w:val="000000"/>
          <w:sz w:val="20"/>
        </w:rPr>
        <w:t xml:space="preserve">vii.If the Participant’s principal place of employment is a state listed the United States sub-section of </w:t>
      </w:r>
      <w:r>
        <w:rPr>
          <w:rFonts w:ascii="Arial;sans-serif" w:hAnsi="Arial;sans-serif"/>
          <w:b/>
          <w:i/>
          <w:color w:val="000000"/>
          <w:sz w:val="20"/>
        </w:rPr>
        <w:t>Appendix A</w:t>
      </w:r>
      <w:r>
        <w:rPr>
          <w:rFonts w:ascii="Arial;sans-serif" w:hAnsi="Arial;sans-serif"/>
          <w:b w:val="false"/>
          <w:color w:val="000000"/>
          <w:sz w:val="20"/>
        </w:rPr>
        <w:t xml:space="preserve">, then the applicable provision(s) in </w:t>
      </w:r>
      <w:r>
        <w:rPr>
          <w:rFonts w:ascii="Arial;sans-serif" w:hAnsi="Arial;sans-serif"/>
          <w:b/>
          <w:i/>
          <w:color w:val="000000"/>
          <w:sz w:val="20"/>
        </w:rPr>
        <w:t>Appendix A</w:t>
      </w:r>
      <w:r>
        <w:rPr>
          <w:color w:val="000000"/>
        </w:rPr>
        <w:t xml:space="preserve"> </w:t>
      </w:r>
      <w:r>
        <w:rPr>
          <w:rFonts w:ascii="Arial;sans-serif" w:hAnsi="Arial;sans-serif"/>
          <w:b w:val="false"/>
          <w:color w:val="000000"/>
          <w:sz w:val="20"/>
        </w:rPr>
        <w:t>shall also apply.</w:t>
      </w:r>
    </w:p>
    <w:p>
      <w:pPr>
        <w:pStyle w:val="TextBody"/>
        <w:bidi w:val="0"/>
        <w:spacing w:before="0" w:after="0"/>
        <w:jc w:val="left"/>
        <w:rPr/>
      </w:pPr>
      <w:r>
        <w:rPr/>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viii.This Award Agreement shall not require the Participant to assign the Participant’s rights in any invention that qualifies fully for the protection of a state law applicable to the Participant that governs assignment of inventions, such as California Labor Code § 2870, which provides: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w:t>
      </w:r>
    </w:p>
    <w:p>
      <w:pPr>
        <w:pStyle w:val="TextBody"/>
        <w:bidi w:val="0"/>
        <w:spacing w:lineRule="auto" w:line="288" w:before="0" w:after="0"/>
        <w:jc w:val="left"/>
        <w:rPr/>
      </w:pPr>
      <w:r>
        <w:rPr>
          <w:rFonts w:ascii="Arial;sans-serif" w:hAnsi="Arial;sans-serif"/>
          <w:b w:val="false"/>
          <w:i/>
          <w:color w:val="000000"/>
          <w:sz w:val="20"/>
        </w:rPr>
        <w:t>(b) To the extent a provision in an employment agreement purports to require an employee to assign an invention otherwise excluded from being required to be assigned under subdivision (a), the provision is against the public policy of this state and is unenforceable</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(j)</w:t>
      </w:r>
      <w:r>
        <w:rPr>
          <w:rFonts w:ascii="Arial;sans-serif" w:hAnsi="Arial;sans-serif"/>
          <w:b w:val="false"/>
          <w:color w:val="000000"/>
          <w:sz w:val="20"/>
          <w:u w:val="single"/>
        </w:rPr>
        <w:t>Notification Requirement</w:t>
      </w:r>
      <w:r>
        <w:rPr>
          <w:rFonts w:ascii="Arial;sans-serif" w:hAnsi="Arial;sans-serif"/>
          <w:b w:val="false"/>
          <w:color w:val="000000"/>
          <w:sz w:val="20"/>
        </w:rPr>
        <w:t xml:space="preserve">. During the term of the Participant's employment with the Corporation or any Affiliate and for the period of two (2) years following termination of the Participant’s employment with the Corporation or an Affiliate, regardless of the reason for or the manner of termination, the Participant agrees to notify the Corporation in writing prior to accepting new employment, or engaging in any other activity which may violate this Award Agreement, and the Participant agrees to provide in such notice information concerning the anticipated new employment or activity, including, but not limited to: name of new employer; address of new employer; name of new team leader; job title; and scope and responsibilities of the new position. The Participant recognizes that such duty of notification is not affected by the Participant’s belief that such employment may perhaps not violate this Award Agreement or otherwise be unfairly competitive with the Corporation or an Affiliate. The Participant’s written notice should be addressed to the Corporation's General Counsel with subject line Non-Competition Agreement, via email to </w:t>
      </w:r>
      <w:r>
        <w:rPr>
          <w:rFonts w:ascii="Arial;sans-serif" w:hAnsi="Arial;sans-serif"/>
          <w:b w:val="false"/>
          <w:color w:val="0E32E1"/>
          <w:sz w:val="20"/>
        </w:rPr>
        <w:t>Noncompete.Notification@kcc.com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(k)</w:t>
      </w:r>
      <w:r>
        <w:rPr>
          <w:rFonts w:ascii="Arial;sans-serif" w:hAnsi="Arial;sans-serif"/>
          <w:b w:val="false"/>
          <w:color w:val="000000"/>
          <w:sz w:val="20"/>
          <w:u w:val="single"/>
        </w:rPr>
        <w:t>Other Notification</w:t>
      </w:r>
      <w:r>
        <w:rPr>
          <w:rFonts w:ascii="Arial;sans-serif" w:hAnsi="Arial;sans-serif"/>
          <w:b w:val="false"/>
          <w:color w:val="000000"/>
          <w:sz w:val="20"/>
        </w:rPr>
        <w:t xml:space="preserve">. During the period of two (2) years following termination of the Participant’s employment with the Corporation or an Affiliate, the Participant shall provide a copy of Section 19 of this Award Agreement to each new employer before starting in any new employment. The Participant agrees that the Corporation may notify any third party about the Participant’s obligations under Section 19 of this Award Agreement until such obligations are fulfilled.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(l)</w:t>
      </w:r>
      <w:r>
        <w:rPr>
          <w:rFonts w:ascii="Arial;sans-serif" w:hAnsi="Arial;sans-serif"/>
          <w:b w:val="false"/>
          <w:color w:val="000000"/>
          <w:sz w:val="20"/>
          <w:u w:val="single"/>
        </w:rPr>
        <w:t>Damages and Remedies</w:t>
      </w:r>
      <w:r>
        <w:rPr>
          <w:rFonts w:ascii="Arial;sans-serif" w:hAnsi="Arial;sans-serif"/>
          <w:b w:val="false"/>
          <w:color w:val="000000"/>
          <w:sz w:val="20"/>
        </w:rPr>
        <w:t>. In the event of an anticipated, threatened, or actual breach by the Participant of any of the provisions of this Section 19, the Corporation and its Affiliates shall be entitled to all damages available as a matter of law. The Participant acknowledges and agrees that any damages would not be an adequate remedy to compensate the Corporation or an Affiliate for the harm to the business of the Corporation or the Affiliate and, in such event, agrees that the Corporation or the Affiliate, as applicable, shall be entitled to a temporary restraining order and to injunctive relief to prevent or terminate such anticipated, threatened, or actual breach, provided, however, that nothing in this Award Agreement shall be construed to limit any additional relief to which the Corporation or the Affiliate may be entitled or the damages otherwise recoverable by the Corporation or the Affiliate in any such event.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49"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11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11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0"/>
        </w:rPr>
        <w:t>(m)</w:t>
      </w:r>
      <w:r>
        <w:rPr>
          <w:rFonts w:ascii="Arial;sans-serif" w:hAnsi="Arial;sans-serif"/>
          <w:b w:val="false"/>
          <w:color w:val="000000"/>
          <w:sz w:val="20"/>
          <w:u w:val="single"/>
        </w:rPr>
        <w:t>Forfeiture of Award</w:t>
      </w:r>
      <w:r>
        <w:rPr>
          <w:rFonts w:ascii="Arial;sans-serif" w:hAnsi="Arial;sans-serif"/>
          <w:b w:val="false"/>
          <w:color w:val="000000"/>
          <w:sz w:val="20"/>
        </w:rPr>
        <w:t xml:space="preserve">. In addition to the Corporation's or an Affiliate's ability to pursue injunctive relief to avoid irreparable harm pursuant to Section 19(l), in the event of an actual breach by the Participant of any of the provisions of this Section 19 or of any stand-alone restrictive covenant agreement, the Corporation also is entitled to: (i) require the Participant to repay to the Corporation, immediately upon demand, an amount equal to the value of the shares of Common Stock issued on settlement of the PRSUs (less $1,000); and/or (ii) forfeit any portion of the Award that has not yet vested at the time the Corporation becomes aware of the breach.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(n)</w:t>
      </w:r>
      <w:r>
        <w:rPr>
          <w:rFonts w:ascii="Arial;sans-serif" w:hAnsi="Arial;sans-serif"/>
          <w:b w:val="false"/>
          <w:color w:val="000000"/>
          <w:sz w:val="20"/>
          <w:u w:val="single"/>
        </w:rPr>
        <w:t>Reimbursement of Fees</w:t>
      </w:r>
      <w:r>
        <w:rPr>
          <w:rFonts w:ascii="Arial;sans-serif" w:hAnsi="Arial;sans-serif"/>
          <w:b w:val="false"/>
          <w:color w:val="000000"/>
          <w:sz w:val="20"/>
        </w:rPr>
        <w:t>. If the Participant violates any of the provisions of this Section 19, or any duty of loyalty or confidentiality imposed by law, in addition to any damages that the Participant may be required to pay, the Participant understands and agrees that the Participant shall be required to reimburse the Corporation for all its costs incurred to enforce this Award Agreement, including but not limited to, all attorneys’ fees.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w:t>
      </w:r>
      <w:r>
        <w:rPr>
          <w:rFonts w:ascii="Arial;sans-serif" w:hAnsi="Arial;sans-serif"/>
          <w:b w:val="false"/>
          <w:color w:val="000000"/>
          <w:sz w:val="20"/>
          <w:u w:val="single"/>
        </w:rPr>
        <w:t>Successors and Beneficiaries</w:t>
      </w:r>
      <w:r>
        <w:rPr>
          <w:rFonts w:ascii="Arial;sans-serif" w:hAnsi="Arial;sans-serif"/>
          <w:b w:val="false"/>
          <w:color w:val="000000"/>
          <w:sz w:val="20"/>
        </w:rPr>
        <w:t>. For purposes of this Section 19, the Corporation and each of its Affiliates shall be deemed to be third-party beneficiaries with the right to seek enforcement of any of the provisions of this Section 19. Further, for purposes of this Section 19, references to acting directly or indirectly include acting jointly with or through another person.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(p)</w:t>
      </w:r>
      <w:r>
        <w:rPr>
          <w:rFonts w:ascii="Arial;sans-serif" w:hAnsi="Arial;sans-serif"/>
          <w:b w:val="false"/>
          <w:color w:val="000000"/>
          <w:sz w:val="20"/>
          <w:u w:val="single"/>
        </w:rPr>
        <w:t>Prior Restrictive Covenants</w:t>
      </w:r>
      <w:r>
        <w:rPr>
          <w:rFonts w:ascii="Arial;sans-serif" w:hAnsi="Arial;sans-serif"/>
          <w:b w:val="false"/>
          <w:color w:val="000000"/>
          <w:sz w:val="20"/>
        </w:rPr>
        <w:t>. Participant acknowledges and agrees that Participant is not a party to any agreement with any other company containing a confidentiality or noncompetition provision or other restriction that relates to the Business of the Corporation which Participant has not already disclosed to the Corporation or its Affiliates in writing. Participant understands that Participant is prohibited from disclosing or using during Participant’s employment with the Corporation any confidential information or trade secrets that Participant acquired from any previous employer.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(q)</w:t>
      </w:r>
      <w:r>
        <w:rPr>
          <w:rFonts w:ascii="Arial;sans-serif" w:hAnsi="Arial;sans-serif"/>
          <w:b w:val="false"/>
          <w:color w:val="000000"/>
          <w:sz w:val="20"/>
          <w:u w:val="single"/>
        </w:rPr>
        <w:t>Modification</w:t>
      </w:r>
      <w:r>
        <w:rPr>
          <w:rFonts w:ascii="Arial;sans-serif" w:hAnsi="Arial;sans-serif"/>
          <w:b w:val="false"/>
          <w:color w:val="000000"/>
          <w:sz w:val="20"/>
        </w:rPr>
        <w:t>. No waiver, modification, or amendment of any term of this Award Agreement shall be valid unless made in writing specifying such waiver, modification, or amendment, and signed by an officer of the Corporation. Notwithstanding the foregoing, no waiver, modification, or amendment of this Award Agreement shall be effective if it would cause this Award or any payment or benefit hereunder to be subject to, or fail to comply with, Section 409A of the Code.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(r)</w:t>
      </w:r>
      <w:r>
        <w:rPr>
          <w:rFonts w:ascii="Arial;sans-serif" w:hAnsi="Arial;sans-serif"/>
          <w:b w:val="false"/>
          <w:color w:val="000000"/>
          <w:sz w:val="20"/>
          <w:u w:val="single"/>
        </w:rPr>
        <w:t>Severability and Reformation</w:t>
      </w:r>
      <w:r>
        <w:rPr>
          <w:rFonts w:ascii="Arial;sans-serif" w:hAnsi="Arial;sans-serif"/>
          <w:b w:val="false"/>
          <w:color w:val="000000"/>
          <w:sz w:val="20"/>
        </w:rPr>
        <w:t>. If any provision of this Section 19 is held to be invalid, illegal or unenforceable in any respect by a court of competent jurisdiction, such provision shall be deemed to be severed from the Award Agreement and such invalidity, illegality or unenforceability will not affect any other provision of the Award Agreement, all of which shall remain valid and enforceable. Notwithstanding the foregoing, if a court of competent jurisdiction determines that the covenants contained in this Section 19 are unenforceable because they are overbroad in some respect, to the full extent permitted by applicable law, the court should sever, revise or reform any aspect of this Section 19 so as to make the scope of such Section 19 as broad as reasonable under applicable law and enforce this Section 19 as so modified. Without limiting the foregoing, if a court, government agency or other body of competent jurisdiction establishes or the Corporation otherwise determines that the covenants contained in this Award Agreement are unenforceable and/or in violation of applicable rules, the Corporation reserves the right to unilaterally amend the Award Agreement so as to comply with applicable rules.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(s)</w:t>
      </w:r>
      <w:r>
        <w:rPr>
          <w:rFonts w:ascii="Arial;sans-serif" w:hAnsi="Arial;sans-serif"/>
          <w:b w:val="false"/>
          <w:color w:val="000000"/>
          <w:sz w:val="20"/>
          <w:u w:val="single"/>
        </w:rPr>
        <w:t>Integration</w:t>
      </w:r>
      <w:r>
        <w:rPr>
          <w:rFonts w:ascii="Arial;sans-serif" w:hAnsi="Arial;sans-serif"/>
          <w:b w:val="false"/>
          <w:color w:val="000000"/>
          <w:sz w:val="20"/>
        </w:rPr>
        <w:t>. All prior and existing non-compete, non-solicitation, confidentiality and business ideas covenants that the Participant may have with the Corporation or any Affiliate, including but not limited to any restrictive covenants that the Participant may have in any separate agreements with the Corporation or any Affiliate (“non-local restrictive covenants”), whether or not such non-local restrictive covenants have been agreed to before or after execution of this Award Agreement, shall continue to apply to the Participant, unless otherwise determined by the Corporation in its sole discretion.</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(t)</w:t>
      </w:r>
      <w:r>
        <w:rPr>
          <w:rFonts w:ascii="Arial;sans-serif" w:hAnsi="Arial;sans-serif"/>
          <w:b w:val="false"/>
          <w:color w:val="000000"/>
          <w:sz w:val="20"/>
          <w:u w:val="single"/>
        </w:rPr>
        <w:t>Advice to Seek Independent Counsel</w:t>
      </w:r>
      <w:r>
        <w:rPr>
          <w:rFonts w:ascii="Arial;sans-serif" w:hAnsi="Arial;sans-serif"/>
          <w:b w:val="false"/>
          <w:color w:val="000000"/>
          <w:sz w:val="20"/>
        </w:rPr>
        <w:t xml:space="preserve">. The Participant is hereby advised in writing to consult with an attorney before entering into the covenants outlined in this Section 19.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50"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12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12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acknowledges that prior to acceptance of this Award Agreement, the Participant has been advised by the Corporation of the Participant's right to seek independent advice from an attorney of the Participant's own selection regarding this Award Agreement, including the restraints imposed upon the Participant pursuant to this Section 19. The Participant acknowledges that the Participant has entered into this Award Agreement knowingly and voluntarily and with full knowledge and understanding of the provisions of this Award Agreement after being given the opportunity to consult with counsel. The Participant further represents that in entering into this Award Agreement, the Participant is not relying on any statements or representations made by any of the Corporations' directors, officers, employees or agents which are not expressly set forth herein, and that the Participant is relying only upon the Participant's own judgment and any advice provided by the Participant's attorney. The Participant acknowledges he or she has been provided at minimum 14 calendar days to review the provisions contained herein.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(u)</w:t>
      </w:r>
      <w:r>
        <w:rPr>
          <w:rFonts w:ascii="Arial;sans-serif" w:hAnsi="Arial;sans-serif"/>
          <w:b w:val="false"/>
          <w:color w:val="000000"/>
          <w:sz w:val="20"/>
          <w:u w:val="single"/>
        </w:rPr>
        <w:t>Tolling</w:t>
      </w:r>
      <w:r>
        <w:rPr>
          <w:rFonts w:ascii="Arial;sans-serif" w:hAnsi="Arial;sans-serif"/>
          <w:b w:val="false"/>
          <w:color w:val="000000"/>
          <w:sz w:val="20"/>
        </w:rPr>
        <w:t>. Subject to Section 19(i), if the Participant violates any of the restrictions of this Section 19, the period for all such restrictions shall automatically be extended by the period the Participant was in violation of them.</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(v)</w:t>
      </w:r>
      <w:r>
        <w:rPr>
          <w:rFonts w:ascii="Arial;sans-serif" w:hAnsi="Arial;sans-serif"/>
          <w:b w:val="false"/>
          <w:color w:val="000000"/>
          <w:sz w:val="20"/>
          <w:u w:val="single"/>
        </w:rPr>
        <w:t>Acknowledgements</w:t>
      </w:r>
      <w:r>
        <w:rPr>
          <w:rFonts w:ascii="Arial;sans-serif" w:hAnsi="Arial;sans-serif"/>
          <w:b w:val="false"/>
          <w:color w:val="000000"/>
          <w:sz w:val="20"/>
        </w:rPr>
        <w:t>. The Participant acknowledges and agrees that employment with the Corporation or any Affiliate affords the Participant unique opportunities for professional and personal development; that the services rendered by the Participant to the Corporation or any Affiliate are of a special and unique character; that the Participant will obtain knowledge and skill relevant to the Corporation's industry, methods of doing business, and strategies by virtue of the Participant's employment; that the Participant may be able to utilize such knowledge to the detriment of the Corporation and its Affiliates; and that the terms and conditions of this Section 19 are reasonable under the circumstances. The Participant further acknowledges that the Participant will not be subject to undue hardship by reason of the Participant's full compliance with the terms and conditions of this Section 19 or the Corporation's or its Affiliate’s enforcement thereof.</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20"/>
        </w:rPr>
        <w:t>20.    </w:t>
      </w:r>
      <w:r>
        <w:rPr>
          <w:rFonts w:ascii="Arial;sans-serif" w:hAnsi="Arial;sans-serif"/>
          <w:b w:val="false"/>
          <w:color w:val="000000"/>
          <w:sz w:val="20"/>
          <w:u w:val="single"/>
        </w:rPr>
        <w:t>Restrictive Covenants For Participants Outside the U.S</w:t>
      </w:r>
      <w:r>
        <w:rPr>
          <w:rFonts w:ascii="Arial;sans-serif" w:hAnsi="Arial;sans-serif"/>
          <w:b w:val="false"/>
          <w:color w:val="000000"/>
          <w:sz w:val="20"/>
        </w:rPr>
        <w:t xml:space="preserve">. </w:t>
      </w:r>
    </w:p>
    <w:p>
      <w:pPr>
        <w:pStyle w:val="TextBody"/>
        <w:bidi w:val="0"/>
        <w:spacing w:before="0" w:after="0"/>
        <w:ind w:left="0" w:right="0" w:hanging="720"/>
        <w:jc w:val="left"/>
        <w:rPr/>
      </w:pPr>
      <w:r>
        <w:rPr/>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u w:val="single"/>
        </w:rPr>
        <w:t>Application</w:t>
      </w:r>
      <w:r>
        <w:rPr>
          <w:rFonts w:ascii="Arial;sans-serif" w:hAnsi="Arial;sans-serif"/>
          <w:b w:val="false"/>
          <w:color w:val="000000"/>
          <w:sz w:val="20"/>
        </w:rPr>
        <w:t xml:space="preserve">. The provisions of this Section 20 apply to Participants who are employed by an Affiliate located outside the United States and are subject to the laws of a jurisdiction outside of the United States as of the date of termination of the Participant's employment, provided, however, that to the extent the Participant is party to an employment or other agreement with any Affiliate containing non-competition, non-solicitation, confidentiality, business ideas or similar restrictions (the “local restrictive covenants”), whether or not such local restrictive covenants have been agreed to before or after execution of this Award Agreement, those local restrictive covenants and related enforcement provisions shall apply and the following provisions of this Section 20 shall also apply, unless otherwise determined by the Corporation in its sole discretion. Notwithstanding the foregoing, Section 20(k) below shall apply in any case. </w:t>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u w:val="single"/>
        </w:rPr>
        <w:t>Confidentiality</w:t>
      </w:r>
      <w:r>
        <w:rPr>
          <w:rFonts w:ascii="Arial;sans-serif" w:hAnsi="Arial;sans-serif"/>
          <w:b w:val="false"/>
          <w:color w:val="000000"/>
          <w:sz w:val="20"/>
        </w:rPr>
        <w:t xml:space="preserve">. During the Participant’s employment with the Corporation or any Affiliate and indefinitely thereafter, the Participant undertakes to maintain the confidentiality of, and not to divulge to any person (except as required by law) any of the Corporation's or any Affiliate's Confidential Information (as defined below), nor use the same for any other purpose, other than to carry out the Participant’s functions as an employee of the Corporation or any of its Affiliates. The Participant shall use all personal endeavors to prevent publication or disclosure of such Confidential Information. The Participant will comply with the policies and procedures of the Corporation for protecting Confidential Information and shall not disclose to any person or use, other than as required by applicable law or for the proper performance of the Participant’s duties and responsibilities to the Corporation and its Affiliates, any Confidential Information. Nothing in this Award Agreement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including initiating, testifying, assisting, complying with a subpoena from, or participating in any manner with an investigation conducted by a local agency, filing or disclosing any facts necessary to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51"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13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13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social insurance or other public benefits. The Participant shall promptly provide written notice of any such order to an authorized officer of the Corporation. Nothing in this Award Agreement prohibits or restricts the Participant (or Participant's attorney) from initiating communications directly with, responding to an inquiry from, or providing testimony before any regulatory authority. “Confidential Information,” for purposes of this Section 20, shall mean (i) statutory trade secrets; (ii) proprietary information developed or acquired by the Corporation that does not rise to the level of a statutorily protectable trade secret and is made the property of the Corporation through this mutual Agreement of the parties; and (iii) information that is otherwise legally protectable. Such Confidential Information includes, but is not limited to, information in whatever form (including, without limitation, in written, oral, visual or electronic form or on any magnetic or optical disk or memory storage medium, as well as other physical items wherever located, and abstracts or summaries of the foregoing) relating to the business, suppliers, customers, products, affairs and finances of the Corporation or any Affiliate for the time being confidential to the Corporation or any Affiliate, ideas, conceptions, compilations of data, and developments created by the Corporation, whether or not patentable and whether or not copyrightable, and trade secrets including, without limitation, technical data and know-how relating to the business of the Corporation or any Affiliate, or any of their suppliers, customers, agents, distributors, shareholders or management, including (but not limited to) business plans, pricing strategies, financial information, patent rights, patent applications, information concerning tenders and potential contracts, information concerning proposed product ranges, product development information, employee and salary information, research and development activities or manufacturing methods that the Participant creates, develops, receives, obtains or has knowledge of in connection with the Participant's employment, and all other matters which relate to the business of the Corporation or any Affiliate and in respect of which information is not readily available in the ordinary course of such business to the Corporation's Competitors, whether or not such information (if in anything other than oral form) is marked confidential. “Competitor,” for purposes of this Section 20, means a person or entity who engages in a business that is the same or substantially the same as any aspect of the Business of the Corporation. “Business of the Corporation,” for purposes of this Section 20, is the development, production, sales and/or marketing of (i) health and hygiene products and related apparel; (ii) washroom and workplace protective and safety products; (iii) any product for which the Participant had development, marketing, innovation/technology (R&amp;D), distribution, sales, administrative, operational/supply chain, manufacturing oversight, or other responsibilities or was provided with regular and material access to Confidential Information; and (iv) the materials, packaging and other components/subcomponents of such products including, without limitation, non-wood plants and products derived therefrom including any fibers, pulps or extracts.</w:t>
      </w:r>
    </w:p>
    <w:p>
      <w:pPr>
        <w:pStyle w:val="TextBody"/>
        <w:bidi w:val="0"/>
        <w:spacing w:lineRule="auto" w:line="288" w:before="0" w:after="240"/>
        <w:jc w:val="left"/>
        <w:rPr/>
      </w:pPr>
      <w:r>
        <w:rPr>
          <w:rFonts w:ascii="Arial;sans-serif" w:hAnsi="Arial;sans-serif"/>
          <w:b w:val="false"/>
          <w:color w:val="000000"/>
          <w:sz w:val="20"/>
        </w:rPr>
        <w:t>(c)</w:t>
      </w:r>
      <w:r>
        <w:rPr>
          <w:rFonts w:ascii="Arial;sans-serif" w:hAnsi="Arial;sans-serif"/>
          <w:b w:val="false"/>
          <w:color w:val="000000"/>
          <w:sz w:val="20"/>
          <w:u w:val="single"/>
        </w:rPr>
        <w:t>Non-Competition</w:t>
      </w:r>
      <w:r>
        <w:rPr>
          <w:rFonts w:ascii="Arial;sans-serif" w:hAnsi="Arial;sans-serif"/>
          <w:b w:val="false"/>
          <w:color w:val="000000"/>
          <w:sz w:val="20"/>
        </w:rPr>
        <w:t xml:space="preserve">. It is acknowledged that the Participant has acquired or will acquire Confidential Information during the Participant’s employment with the Corporation or any Affiliate, and should the Participant’s employment cease, the Participant will inevitably use or disclose the Corporation’s or an Affiliate’s Confidential Information while working in a competitive role. It is further acknowledged that it may be difficult to police Section 20(b) above, prohibiting the disclosure of such Confidential Information as well as the non-solicitation sub-sections set out below. For these reasons, during the term of the Participant’s employment and for the applicable period listed in Appendix B of this Award Agreement following the termination of employment, regardless of the reason for or the manner of termination, the Participant shall not, in any country or countries for which Participant had development, marketing, innovation/technology (R&amp;D), distribution, sales, administrative, operational/supply chain, manufacturing oversight, or other responsibilities during the last two (2) years of Participant’s employment or was provided with regular and material access to Confidential Information regarding the Corporation’s or an Affiliate's business operations in that country or countries during the last two (2) years of Participant’s employment, either directly or indirectly, perform duties or undertake responsibilities (including without limitation as an employee, employer, owner, operator, manager, advisor, consultant, contractor, agent, partner, director, officer, volunteer, intern, or any other similar capacity) for a Competitor that are the same or substantially similar to those duties or responsibilities that the Participant performed or undertook for the Corporation or an Affiliate during the two (2) year period prior to the end of the Participant’s employment with the Corporation or an Affiliate.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52"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14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14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(d)</w:t>
      </w:r>
      <w:r>
        <w:rPr>
          <w:rFonts w:ascii="Arial;sans-serif" w:hAnsi="Arial;sans-serif"/>
          <w:b w:val="false"/>
          <w:color w:val="000000"/>
          <w:sz w:val="20"/>
          <w:u w:val="single"/>
        </w:rPr>
        <w:t>Business Ideas</w:t>
      </w:r>
      <w:r>
        <w:rPr>
          <w:rFonts w:ascii="Arial;sans-serif" w:hAnsi="Arial;sans-serif"/>
          <w:b w:val="false"/>
          <w:color w:val="000000"/>
          <w:sz w:val="20"/>
        </w:rPr>
        <w:t>. The Participant acknowledges that the Corporation owns all rights in all Business Ideas (as defined below). For the avoidance of doubt, in the event an assignment is needed during the term of the Participant's employment with the Corporation or any Affiliate and at any time following the termination of employment, the Participant hereby assigns without further action being required to the Employer all Business Ideas. The Participant shall promptly execute all documents which the Corporation may reasonably require to perfect, maintain and protect its patent, copyright, trade secret, trademark and any and all other rights to such Business Ideas throughout the world, and shall provide other reasonable assistance and cooperation as may be necessary for the Corporation or the Employer to investigate, perfect, maintain and protect those rights, including assistance and cooperation with litigation relating to any Business Ideas. Even after the Participant's employment with the Corporation or any Affiliate terminates, the Participant will continue to be reasonably available to assist the Corporation or the Employer with its efforts to investigate, perfect, maintain and protect rights in any Business Ideas, including assistance with litigation relating to any Business Ideas. “Business Ideas” as used in this Award Agreement means all ideas, concepts, innovations, inventions, strategy, data, developments, and works of authorship, whether or not patentable, both technical and business, which the Participant originates, conceives or develops, either alone or in conjunction with others, at any time during the Participant's employment with the Corporation or any Affiliate, except those which satisfy all three of the following criteria: (i) unrelated to the Corporation's business; (ii) not originated, conceived or developed during the Participant's working hours; and (iii) not originated, conceived or developed by use of any Corporation property such as tools, supplies, equipment, materials, facilities or other Corporation employees. Any idea, concept, innovation, invention, strategy, data, development or work of authorship that the Participant originates, conceives or develops, through the use of Corporation Confidential Information, at any time within six (6) months after the Participant's employment with the Corporation or any Affiliate terminates (for any reason) will be presumed to be a Business Idea unless the Participant can prove otherwise by clear and convincing evidence.</w:t>
      </w:r>
    </w:p>
    <w:p>
      <w:pPr>
        <w:pStyle w:val="TextBody"/>
        <w:bidi w:val="0"/>
        <w:spacing w:lineRule="auto" w:line="288" w:before="0" w:after="240"/>
        <w:jc w:val="left"/>
        <w:rPr/>
      </w:pPr>
      <w:r>
        <w:rPr>
          <w:rFonts w:ascii="Arial;sans-serif" w:hAnsi="Arial;sans-serif"/>
          <w:b w:val="false"/>
          <w:color w:val="000000"/>
          <w:sz w:val="20"/>
        </w:rPr>
        <w:t>(e)</w:t>
      </w:r>
      <w:r>
        <w:rPr>
          <w:rFonts w:ascii="Arial;sans-serif" w:hAnsi="Arial;sans-serif"/>
          <w:b w:val="false"/>
          <w:color w:val="000000"/>
          <w:sz w:val="20"/>
        </w:rPr>
        <w:t>Rights to Photographs, Videos, Recordings, and Electronic Images/Waiver of Publicity Rights. The Participant agrees that the Corporation and its licensee may, and are entitled to, use, exploit, publish, and copyright photographs, videos, audio, and other recordings and electronic images, icons, or figures of or representing Participant (collectively, the “Performance”) relating in any way to the Business of the Corporation that are made during the term of the Participant’s employment (and any derivative works made thereafter), and that the Corporation shall have all of Participant’s rights, title, and interest (if any) in, to, and under any such Performance including, without limitation, privacy, copyright, moral right, and rights of publicity. The Corporation and its licensees may use such Performance without further compensation or any other additional consideration, for any advertising, publishing, social media, or other business or commercial purposes on behalf of the Company both during or after the term of the Participant’s employment.</w:t>
      </w:r>
    </w:p>
    <w:p>
      <w:pPr>
        <w:pStyle w:val="TextBody"/>
        <w:bidi w:val="0"/>
        <w:spacing w:lineRule="auto" w:line="288" w:before="0" w:after="240"/>
        <w:jc w:val="left"/>
        <w:rPr/>
      </w:pPr>
      <w:r>
        <w:rPr>
          <w:rFonts w:ascii="Arial;sans-serif" w:hAnsi="Arial;sans-serif"/>
          <w:b w:val="false"/>
          <w:color w:val="000000"/>
          <w:sz w:val="20"/>
        </w:rPr>
        <w:t>(f)</w:t>
      </w:r>
      <w:r>
        <w:rPr>
          <w:rFonts w:ascii="Arial;sans-serif" w:hAnsi="Arial;sans-serif"/>
          <w:b w:val="false"/>
          <w:color w:val="000000"/>
          <w:sz w:val="20"/>
          <w:u w:val="single"/>
        </w:rPr>
        <w:t>Notification Requirement</w:t>
      </w:r>
      <w:r>
        <w:rPr>
          <w:rFonts w:ascii="Arial;sans-serif" w:hAnsi="Arial;sans-serif"/>
          <w:b w:val="false"/>
          <w:color w:val="000000"/>
          <w:sz w:val="20"/>
        </w:rPr>
        <w:t xml:space="preserve">. During the term of the Participant's employment with the Corporation or any Affiliate and for the period of two (2) years following termination of the Participant’s employment with the Corporation or an Affiliate, the Participant agrees to notify the Corporation in writing prior to accepting new employment, or engaging in any other activity which may violate this Award Agreement, and the Participant agrees to provide in such notice information concerning the anticipated new employment or activity, including, but not limited to: name of new employer; address of new employer; name of new team leader; job title; and scope and responsibilities of the new position. The Participant recognizes that such duty of notification is not affected by the Participant’s belief that such employment may perhaps not violate this Award Agreement or otherwise be unfairly competitive with the Corporation or an Affiliate. The Participant’s written notice should be addressed to the Corporation's General Counsel with subject line Non-Competition Agreement, via email to </w:t>
      </w:r>
      <w:r>
        <w:rPr>
          <w:rFonts w:ascii="Arial;sans-serif" w:hAnsi="Arial;sans-serif"/>
          <w:b w:val="false"/>
          <w:color w:val="0E32E1"/>
          <w:sz w:val="20"/>
        </w:rPr>
        <w:t>Noncompete.Notification@kcc.com</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val="false"/>
          <w:color w:val="000000"/>
          <w:sz w:val="20"/>
        </w:rPr>
        <w:t>(g)</w:t>
      </w:r>
      <w:r>
        <w:rPr>
          <w:rFonts w:ascii="Arial;sans-serif" w:hAnsi="Arial;sans-serif"/>
          <w:b w:val="false"/>
          <w:color w:val="000000"/>
          <w:sz w:val="20"/>
          <w:u w:val="single"/>
        </w:rPr>
        <w:t>Other Notification</w:t>
      </w:r>
      <w:r>
        <w:rPr>
          <w:rFonts w:ascii="Arial;sans-serif" w:hAnsi="Arial;sans-serif"/>
          <w:b w:val="false"/>
          <w:color w:val="000000"/>
          <w:sz w:val="20"/>
        </w:rPr>
        <w:t xml:space="preserve">. During the period of two (2) years following termination of the Participant’s employment with the Corporation or an Affiliate, the Participant shall provide a copy of Section 20 of this Award Agreement to each new employer before starting in any new employment. The Participant agrees that the Corporation may notify any third party about the Participant’s obligations under Section 20 of this Award Agreement until such obligations are fulfilled.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53"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15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15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(h)</w:t>
      </w:r>
      <w:r>
        <w:rPr>
          <w:rFonts w:ascii="Arial;sans-serif" w:hAnsi="Arial;sans-serif"/>
          <w:b w:val="false"/>
          <w:color w:val="000000"/>
          <w:sz w:val="20"/>
          <w:u w:val="single"/>
        </w:rPr>
        <w:t>Non-Solicitation of Business</w:t>
      </w:r>
      <w:r>
        <w:rPr>
          <w:rFonts w:ascii="Arial;sans-serif" w:hAnsi="Arial;sans-serif"/>
          <w:b w:val="false"/>
          <w:color w:val="000000"/>
          <w:sz w:val="20"/>
        </w:rPr>
        <w:t>. During the term of the Participant’s employment and for a period of two (2) years following the termination of employment, regardless of the reason for or the manner of termination, the Participant shall not, either directly or indirectly, on the Participant’s own behalf or on behalf of any other person, firm or company or other entity, solicit, interfere with, entice or endeavor to entice away from the Corporation or any Affiliate any Restricted Customer (as defined below), or seek to conduct Restricted Business (as defined below), or conduct Restricted Business, with any Restricted Customer and/or otherwise persuade, induce, solicit or encourage any person or entity to terminate its contractual relationship with the Corporation or any Affiliate. “Restricted Business,” for purposes of this Section 20, means any business activity carried out by the Participant for the Corporation or any Affiliate during the last two (2) years preceding the Participant’s termination date. “Restricted Customer,” for purposes of this Section 20, means any person, firm or company or other entity who was a customer or distributor of the Corporation or any Affiliate as at the Participant’s termination date or during the last two (2) years preceding the Participant’s termination date, and (i) with whom the Participant had material contact at the Participant’s termination Date or during the last two (2) years preceding the Participant’s termination date, or (ii) in respect of whom, as at the Participant’s termination date or during the last two (2) years preceding the Participant’s termination date, the Participant had Confidential Information, including any Prospective Customer. “Prospective Customer,” for purposes of this Section 20, means any person, firm or company or other entity with whom the Corporation or any Affiliate was involved in negotiations as at the Participant’s termination date or during the last two (2) years preceding the Participant’s termination date, with a view to dealing with it as a customer and/or to conclude a contractual relationship with such entity, and where such negotiations have involved more than nominal expense or time commitment, and/or with whom the Participant had contact at the Participant’s termination date or during the last two (2) years preceding the Participant’s termination date with a view to dealing with it as a customer of the Corporation or any Affiliate and/or to conclude a contractual relationship with such entity or in respect of whom, as at the Participant’s termination date or during the last two (2) years preceding the Participant’s termination date, the Participant had Confidential Information.</w:t>
      </w:r>
    </w:p>
    <w:p>
      <w:pPr>
        <w:pStyle w:val="TextBody"/>
        <w:bidi w:val="0"/>
        <w:spacing w:lineRule="auto" w:line="288" w:before="0" w:after="240"/>
        <w:jc w:val="left"/>
        <w:rPr/>
      </w:pPr>
      <w:r>
        <w:rPr>
          <w:rFonts w:ascii="Arial;sans-serif" w:hAnsi="Arial;sans-serif"/>
          <w:b w:val="false"/>
          <w:color w:val="000000"/>
          <w:sz w:val="20"/>
        </w:rPr>
        <w:t>(i)</w:t>
      </w:r>
      <w:r>
        <w:rPr>
          <w:rFonts w:ascii="Arial;sans-serif" w:hAnsi="Arial;sans-serif"/>
          <w:b w:val="false"/>
          <w:color w:val="000000"/>
          <w:sz w:val="20"/>
          <w:u w:val="single"/>
        </w:rPr>
        <w:t>Non-Solicitation of Employees</w:t>
      </w:r>
      <w:r>
        <w:rPr>
          <w:rFonts w:ascii="Arial;sans-serif" w:hAnsi="Arial;sans-serif"/>
          <w:b w:val="false"/>
          <w:color w:val="000000"/>
          <w:sz w:val="20"/>
        </w:rPr>
        <w:t>. For a period of two (2) years following the termination of employment, regardless of the reason for or the manner of termination, the Participant shall not,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or (ii) be otherwise involved in the recruitment of such person, to leave the employment of the Corporation or of any Affiliate. Furthermore, the Participant shall not for a period of two (2) years following the termination date regardless of the reason for or the manner of termination,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to become employed by, associated with and/or form part of any business or concern, in any capacity whatsoever, of any Competitor or (ii) be otherwise involved in the recruitment of such person to become employed by, associated with and/or form part of any business or concern, in any capacity whatsoever, of any Competitor. The Participant must inform the Corporation immediately on becoming aware of any such recruitment.</w:t>
      </w:r>
    </w:p>
    <w:p>
      <w:pPr>
        <w:pStyle w:val="TextBody"/>
        <w:bidi w:val="0"/>
        <w:spacing w:lineRule="auto" w:line="288" w:before="0" w:after="240"/>
        <w:jc w:val="left"/>
        <w:rPr/>
      </w:pPr>
      <w:r>
        <w:rPr>
          <w:rFonts w:ascii="Arial;sans-serif" w:hAnsi="Arial;sans-serif"/>
          <w:b w:val="false"/>
          <w:color w:val="000000"/>
          <w:sz w:val="20"/>
        </w:rPr>
        <w:t>(j)</w:t>
      </w:r>
      <w:r>
        <w:rPr>
          <w:rFonts w:ascii="Arial;sans-serif" w:hAnsi="Arial;sans-serif"/>
          <w:b w:val="false"/>
          <w:color w:val="000000"/>
          <w:sz w:val="20"/>
          <w:u w:val="single"/>
        </w:rPr>
        <w:t>Damages and Remedies</w:t>
      </w:r>
      <w:r>
        <w:rPr>
          <w:rFonts w:ascii="Arial;sans-serif" w:hAnsi="Arial;sans-serif"/>
          <w:b w:val="false"/>
          <w:color w:val="000000"/>
          <w:sz w:val="20"/>
        </w:rPr>
        <w:t>. In the event of an anticipated, threatened, or actual breach by the Participant of any of the provisions of this Section 20, the Corporation and its Affiliates shall be entitled to all damages available as a matter of law. The Participant acknowledges and agrees that any damages would not be an adequate remedy to compensate the Corporation or an Affiliate for the harm to the business of the Corporation or the Affiliate and, in such event, agrees that the Corporation or the Affiliate, as applicable, shall be entitled to a temporary restraining order and to injunctive relief to prevent or terminate such anticipated or actual breach, provided, however, that nothing in this Award Agreement shall be construed to limit any additional relief to which the Corporation or the Affiliate may be entitled or the damages otherwise recoverable by the Corporation or the Affiliate in any such event.</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7665"/>
                <wp:effectExtent l="0" t="0" r="0" b="0"/>
                <wp:wrapNone/>
                <wp:docPr id="54"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16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16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(k)</w:t>
      </w:r>
      <w:r>
        <w:rPr>
          <w:rFonts w:ascii="Arial;sans-serif" w:hAnsi="Arial;sans-serif"/>
          <w:b w:val="false"/>
          <w:color w:val="000000"/>
          <w:sz w:val="20"/>
          <w:u w:val="single"/>
        </w:rPr>
        <w:t>Forfeiture of Award</w:t>
      </w:r>
      <w:r>
        <w:rPr>
          <w:rFonts w:ascii="Arial;sans-serif" w:hAnsi="Arial;sans-serif"/>
          <w:b w:val="false"/>
          <w:color w:val="000000"/>
          <w:sz w:val="20"/>
        </w:rPr>
        <w:t xml:space="preserve">. In addition to the Corporation's or an Affiliate's ability to pursue injunctive relief to avoid irreparable harm pursuant to Section 20(j), in the event of an actual breach by the Participant of any of the provisions of this Section 20 or of any local restrictive covenant agreement, the Corporation also is entitled to: (i) require the Participant to repay to the Corporation, immediately upon demand, an amount equal to the value of the shares of Common Stock issued on settlement of the PRSUs (less $1,000); and (ii) forfeit any portion of the Award that has not yet vested at the time the Corporation becomes aware of the breach. </w:t>
      </w:r>
    </w:p>
    <w:p>
      <w:pPr>
        <w:pStyle w:val="TextBody"/>
        <w:bidi w:val="0"/>
        <w:spacing w:lineRule="auto" w:line="288" w:before="0" w:after="240"/>
        <w:jc w:val="left"/>
        <w:rPr/>
      </w:pPr>
      <w:r>
        <w:rPr>
          <w:rFonts w:ascii="Arial;sans-serif" w:hAnsi="Arial;sans-serif"/>
          <w:b w:val="false"/>
          <w:color w:val="000000"/>
          <w:sz w:val="20"/>
        </w:rPr>
        <w:t>(l)</w:t>
      </w:r>
      <w:r>
        <w:rPr>
          <w:rFonts w:ascii="Arial;sans-serif" w:hAnsi="Arial;sans-serif"/>
          <w:b w:val="false"/>
          <w:color w:val="000000"/>
          <w:sz w:val="20"/>
          <w:u w:val="single"/>
        </w:rPr>
        <w:t>Reimbursement of Fees</w:t>
      </w:r>
      <w:r>
        <w:rPr>
          <w:rFonts w:ascii="Arial;sans-serif" w:hAnsi="Arial;sans-serif"/>
          <w:b w:val="false"/>
          <w:color w:val="000000"/>
          <w:sz w:val="20"/>
        </w:rPr>
        <w:t>. If the Participant violates any of the provisions of this Section 20, or any duty of loyalty or confidentiality imposed by law, in addition to any damages that the Participant may be required to pay, the Participant understands and agrees that the Participant shall be required to reimburse the Corporation for all its costs incurred to enforce this Award Agreement, including but not limited to, all attorneys’ fees.</w:t>
      </w:r>
    </w:p>
    <w:p>
      <w:pPr>
        <w:pStyle w:val="TextBody"/>
        <w:bidi w:val="0"/>
        <w:spacing w:lineRule="auto" w:line="288" w:before="0" w:after="240"/>
        <w:jc w:val="left"/>
        <w:rPr/>
      </w:pPr>
      <w:r>
        <w:rPr>
          <w:rFonts w:ascii="Arial;sans-serif" w:hAnsi="Arial;sans-serif"/>
          <w:b w:val="false"/>
          <w:color w:val="000000"/>
          <w:sz w:val="20"/>
        </w:rPr>
        <w:t>(m)</w:t>
      </w:r>
      <w:r>
        <w:rPr>
          <w:rFonts w:ascii="Arial;sans-serif" w:hAnsi="Arial;sans-serif"/>
          <w:b w:val="false"/>
          <w:color w:val="000000"/>
          <w:sz w:val="20"/>
          <w:u w:val="single"/>
        </w:rPr>
        <w:t>Successors and Beneficiaries</w:t>
      </w:r>
      <w:r>
        <w:rPr>
          <w:rFonts w:ascii="Arial;sans-serif" w:hAnsi="Arial;sans-serif"/>
          <w:b w:val="false"/>
          <w:color w:val="000000"/>
          <w:sz w:val="20"/>
        </w:rPr>
        <w:t>. For purposes of this Section 20, the Corporation and each of its Affiliates shall be deemed to be third party beneficiaries with the right to seek enforcement of any of the provisions of this Section 20. Further, for purposes of this Section 20, references to acting directly or indirectly include acting jointly with or through another person.</w:t>
      </w:r>
    </w:p>
    <w:p>
      <w:pPr>
        <w:pStyle w:val="TextBody"/>
        <w:bidi w:val="0"/>
        <w:spacing w:lineRule="auto" w:line="288" w:before="0" w:after="240"/>
        <w:jc w:val="left"/>
        <w:rPr/>
      </w:pPr>
      <w:r>
        <w:rPr>
          <w:rFonts w:ascii="Arial;sans-serif" w:hAnsi="Arial;sans-serif"/>
          <w:b w:val="false"/>
          <w:color w:val="000000"/>
          <w:sz w:val="20"/>
        </w:rPr>
        <w:t>(n)</w:t>
      </w:r>
      <w:r>
        <w:rPr>
          <w:rFonts w:ascii="Arial;sans-serif" w:hAnsi="Arial;sans-serif"/>
          <w:b w:val="false"/>
          <w:color w:val="000000"/>
          <w:sz w:val="20"/>
          <w:u w:val="single"/>
        </w:rPr>
        <w:t>Prior Restrictive Covenants</w:t>
      </w:r>
      <w:r>
        <w:rPr>
          <w:rFonts w:ascii="Arial;sans-serif" w:hAnsi="Arial;sans-serif"/>
          <w:b w:val="false"/>
          <w:color w:val="000000"/>
          <w:sz w:val="20"/>
        </w:rPr>
        <w:t>. Participant acknowledges and agrees that Participant is not a party to any agreement with any other company containing a confidentiality or noncompetition provision or other restriction that relates to the Business of the Corporation which Participant has not already disclosed to the Corporation or its Affiliates in writing. Participant understands that Participant is prohibited from disclosing or using during Participant’s employment with the Corporation any confidential information or trade secrets that Participant acquired from any previous employer.</w:t>
      </w:r>
    </w:p>
    <w:p>
      <w:pPr>
        <w:pStyle w:val="TextBody"/>
        <w:bidi w:val="0"/>
        <w:spacing w:lineRule="auto" w:line="288" w:before="0" w:after="240"/>
        <w:jc w:val="left"/>
        <w:rPr/>
      </w:pPr>
      <w:r>
        <w:rPr>
          <w:rFonts w:ascii="Arial;sans-serif" w:hAnsi="Arial;sans-serif"/>
          <w:b w:val="false"/>
          <w:color w:val="000000"/>
          <w:sz w:val="20"/>
        </w:rPr>
        <w:t>(o)</w:t>
      </w:r>
      <w:r>
        <w:rPr>
          <w:rFonts w:ascii="Arial;sans-serif" w:hAnsi="Arial;sans-serif"/>
          <w:b w:val="false"/>
          <w:color w:val="000000"/>
          <w:sz w:val="20"/>
          <w:u w:val="single"/>
        </w:rPr>
        <w:t>Modification</w:t>
      </w:r>
      <w:r>
        <w:rPr>
          <w:rFonts w:ascii="Arial;sans-serif" w:hAnsi="Arial;sans-serif"/>
          <w:b w:val="false"/>
          <w:color w:val="000000"/>
          <w:sz w:val="20"/>
        </w:rPr>
        <w:t>. No waiver, modification, or amendment of any term of this Award Agreement shall be valid unless made in writing specifying such waiver, modification, or amendment, and signed by an officer of the Corporation. Notwithstanding the foregoing, no waiver, modification, or amendment of this Award Agreement shall be effective if it would cause this Award or any payment or benefit hereunder to be subject to, or fail to comply with, Section 409A of the Code.</w:t>
      </w:r>
    </w:p>
    <w:p>
      <w:pPr>
        <w:pStyle w:val="TextBody"/>
        <w:bidi w:val="0"/>
        <w:spacing w:lineRule="auto" w:line="288" w:before="0" w:after="240"/>
        <w:jc w:val="left"/>
        <w:rPr/>
      </w:pPr>
      <w:r>
        <w:rPr>
          <w:rFonts w:ascii="Arial;sans-serif" w:hAnsi="Arial;sans-serif"/>
          <w:b w:val="false"/>
          <w:color w:val="000000"/>
          <w:sz w:val="20"/>
        </w:rPr>
        <w:t>(p)</w:t>
      </w:r>
      <w:r>
        <w:rPr>
          <w:rFonts w:ascii="Arial;sans-serif" w:hAnsi="Arial;sans-serif"/>
          <w:b w:val="false"/>
          <w:color w:val="000000"/>
          <w:sz w:val="20"/>
          <w:u w:val="single"/>
        </w:rPr>
        <w:t>Severability and Reformation</w:t>
      </w:r>
      <w:r>
        <w:rPr>
          <w:rFonts w:ascii="Arial;sans-serif" w:hAnsi="Arial;sans-serif"/>
          <w:b w:val="false"/>
          <w:color w:val="000000"/>
          <w:sz w:val="20"/>
        </w:rPr>
        <w:t>. If any provision of this Section 20 is held to be invalid, illegal or unenforceable in any respect by a court of competent jurisdiction, such provision shall be deemed to be severed from the Award Agreement and such invalidity, illegality or unenforceability will not affect any other provision of the Award Agreement, all of which shall remain valid and enforceable. Notwithstanding the foregoing, if a court of competent jurisdiction determines that the covenants contained in this Section 20 are unenforceable because they are overbroad in some respect, to the full extent permitted by applicable law, the court should sever, revise or reform any aspect of this Section 20 so as to make the scope of such Section 20 as broad as reasonable under applicable law and enforce this Section 20 as so modified. Without limiting the foregoing, if a court, government agency or other body of competent jurisdiction establishes or the Corporation otherwise determines that the covenants contained in this Award Agreement are unenforceable and/or in violation of applicable rules, the Corporation reserves the right to unilaterally amend the Award Agreement so as to comply with applicable rules.</w:t>
      </w:r>
    </w:p>
    <w:p>
      <w:pPr>
        <w:pStyle w:val="TextBody"/>
        <w:bidi w:val="0"/>
        <w:spacing w:lineRule="auto" w:line="288" w:before="0" w:after="240"/>
        <w:jc w:val="left"/>
        <w:rPr/>
      </w:pPr>
      <w:r>
        <w:rPr>
          <w:rFonts w:ascii="Arial;sans-serif" w:hAnsi="Arial;sans-serif"/>
          <w:b w:val="false"/>
          <w:color w:val="000000"/>
          <w:sz w:val="20"/>
        </w:rPr>
        <w:t>(q)</w:t>
      </w:r>
      <w:r>
        <w:rPr>
          <w:rFonts w:ascii="Arial;sans-serif" w:hAnsi="Arial;sans-serif"/>
          <w:b w:val="false"/>
          <w:color w:val="000000"/>
          <w:sz w:val="20"/>
          <w:u w:val="single"/>
        </w:rPr>
        <w:t>Tolling</w:t>
      </w:r>
      <w:r>
        <w:rPr>
          <w:rFonts w:ascii="Arial;sans-serif" w:hAnsi="Arial;sans-serif"/>
          <w:b w:val="false"/>
          <w:color w:val="000000"/>
          <w:sz w:val="20"/>
        </w:rPr>
        <w:t>. If the Participant violates any of the restrictions of this Section 20, the period for all such restrictions shall automatically be extended by the period the Participant was in violation of them.</w:t>
      </w:r>
    </w:p>
    <w:p>
      <w:pPr>
        <w:pStyle w:val="TextBody"/>
        <w:bidi w:val="0"/>
        <w:spacing w:lineRule="auto" w:line="288" w:before="0" w:after="240"/>
        <w:jc w:val="left"/>
        <w:rPr/>
      </w:pPr>
      <w:r>
        <w:rPr>
          <w:rFonts w:ascii="Arial;sans-serif" w:hAnsi="Arial;sans-serif"/>
          <w:b w:val="false"/>
          <w:color w:val="000000"/>
          <w:sz w:val="20"/>
        </w:rPr>
        <w:t>(r)</w:t>
      </w:r>
      <w:r>
        <w:rPr>
          <w:rFonts w:ascii="Arial;sans-serif" w:hAnsi="Arial;sans-serif"/>
          <w:b w:val="false"/>
          <w:color w:val="000000"/>
          <w:sz w:val="20"/>
          <w:u w:val="single"/>
        </w:rPr>
        <w:t>Acknowledgements</w:t>
      </w:r>
      <w:r>
        <w:rPr>
          <w:rFonts w:ascii="Arial;sans-serif" w:hAnsi="Arial;sans-serif"/>
          <w:b w:val="false"/>
          <w:color w:val="000000"/>
          <w:sz w:val="20"/>
        </w:rPr>
        <w:t xml:space="preserve">. The Participant acknowledges and agrees that employment with the Corporation or any Affiliate affords the Participant unique opportunities for professional and personal development; that the services rendered by the Participant to the Corporation or any Affiliate are of a special and unique character; that the Participant will obtain knowledge and skill relevant to the Corporation's industry, methods of doing business, and strategies by virtue of the Participant's employment; that the Participant may be able to utilize such knowledge to the detriment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7665"/>
                <wp:effectExtent l="0" t="0" r="0" b="0"/>
                <wp:wrapNone/>
                <wp:docPr id="55" name="Frame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17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17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Corporation and its Affiliates; and that the terms and conditions of this Section 20 are reasonable under the circumstances. The Participant further acknowledges that the Participant will not be subject to undue hardship by reason of the Participant's full compliance with the terms and conditions of this Section 20 or the Corporation's or its Affiliates’ enforcement thereof.</w:t>
      </w:r>
    </w:p>
    <w:p>
      <w:pPr>
        <w:pStyle w:val="TextBody"/>
        <w:bidi w:val="0"/>
        <w:spacing w:lineRule="auto" w:line="288" w:before="0" w:after="240"/>
        <w:jc w:val="left"/>
        <w:rPr/>
      </w:pPr>
      <w:r>
        <w:rPr>
          <w:rFonts w:ascii="Arial;sans-serif" w:hAnsi="Arial;sans-serif"/>
          <w:b w:val="false"/>
          <w:color w:val="000000"/>
          <w:sz w:val="20"/>
        </w:rPr>
        <w:t>(s)</w:t>
      </w:r>
      <w:r>
        <w:rPr>
          <w:rFonts w:ascii="Arial;sans-serif" w:hAnsi="Arial;sans-serif"/>
          <w:b w:val="false"/>
          <w:color w:val="000000"/>
          <w:sz w:val="20"/>
          <w:u w:val="single"/>
        </w:rPr>
        <w:t>Integration</w:t>
      </w:r>
      <w:r>
        <w:rPr>
          <w:rFonts w:ascii="Arial;sans-serif" w:hAnsi="Arial;sans-serif"/>
          <w:b w:val="false"/>
          <w:color w:val="000000"/>
          <w:sz w:val="20"/>
        </w:rPr>
        <w:t>. All prior and existing non-compete, non-solicitation, confidentiality and business ideas covenants that the Participant may have with the Corporation or any Affiliate, including but not limited to any restrictive covenants that the Participant may have in any separate agreements with the Corporation or any Affiliate (“non-local restrictive covenants”), whether or not such non-local restrictive covenants have been agreed to before or after execution of this Award Agreement, shall continue to apply to the Participant, unless otherwise determined by the Corporation in its sole discretion.</w:t>
      </w:r>
    </w:p>
    <w:p>
      <w:pPr>
        <w:pStyle w:val="TextBody"/>
        <w:bidi w:val="0"/>
        <w:spacing w:lineRule="auto" w:line="288" w:before="0" w:after="240"/>
        <w:jc w:val="left"/>
        <w:rPr/>
      </w:pPr>
      <w:r>
        <w:rPr>
          <w:rFonts w:ascii="Arial;sans-serif" w:hAnsi="Arial;sans-serif"/>
          <w:b w:val="false"/>
          <w:color w:val="000000"/>
          <w:sz w:val="20"/>
        </w:rPr>
        <w:t>(t)</w:t>
      </w:r>
      <w:r>
        <w:rPr>
          <w:rFonts w:ascii="Arial;sans-serif" w:hAnsi="Arial;sans-serif"/>
          <w:b w:val="false"/>
          <w:color w:val="000000"/>
          <w:sz w:val="20"/>
          <w:u w:val="single"/>
        </w:rPr>
        <w:t>Advice to Seek Independent Counsel</w:t>
      </w:r>
      <w:r>
        <w:rPr>
          <w:rFonts w:ascii="Arial;sans-serif" w:hAnsi="Arial;sans-serif"/>
          <w:b w:val="false"/>
          <w:color w:val="000000"/>
          <w:sz w:val="20"/>
        </w:rPr>
        <w:t>. The Participant is hereby advised in writing to consult with an attorney before entering into the covenants outlined in this Section 20. The Participant acknowledges that prior to acceptance of this Award Agreement, the Participant has been advised by the Corporation of the Participant's right to seek independent advice from an attorney of the Participant's own selection regarding this Award Agreement, including the restraints imposed upon the Participant pursuant to this Section 20. The Participant acknowledges that the Participant has entered into this Award Agreement knowingly and voluntarily and with full knowledge and understanding of the provisions of this Award Agreement after being given the opportunity to consult with counsel. The Participant further represents that in entering into this Award Agreement, the Participant is not relying on any statements or representations made by any of the Corporations' directors, officers, employees or agents which are not expressly set forth herein, and that the Participant is relying only upon the Participant's own judgment and any advice provided by the Participant's attorney.</w:t>
      </w:r>
    </w:p>
    <w:p>
      <w:pPr>
        <w:pStyle w:val="TextBody"/>
        <w:bidi w:val="0"/>
        <w:spacing w:lineRule="auto" w:line="288" w:before="0" w:after="240"/>
        <w:jc w:val="left"/>
        <w:rPr/>
      </w:pPr>
      <w:r>
        <w:rPr>
          <w:rFonts w:ascii="Arial;sans-serif" w:hAnsi="Arial;sans-serif"/>
          <w:b w:val="false"/>
          <w:color w:val="000000"/>
          <w:sz w:val="20"/>
        </w:rPr>
        <w:t>21.    </w:t>
      </w:r>
      <w:r>
        <w:rPr>
          <w:rFonts w:ascii="Arial;sans-serif" w:hAnsi="Arial;sans-serif"/>
          <w:b w:val="false"/>
          <w:color w:val="000000"/>
          <w:sz w:val="20"/>
          <w:u w:val="single"/>
        </w:rPr>
        <w:t>Forfeiture and Recoupment</w:t>
      </w:r>
      <w:r>
        <w:rPr>
          <w:rFonts w:ascii="Arial;sans-serif" w:hAnsi="Arial;sans-serif"/>
          <w:b w:val="false"/>
          <w:color w:val="000000"/>
          <w:sz w:val="20"/>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The PRSUs are subject to the compensation recovery provisions of the Plan. In addition, the PRSUs are subject to the Kimberly-Clark Corporation Compensation Recoupment Policy (such policy, as it may be amended from time to time, the “Recoupment Policy”) if the Participant is a Leader (as defined in the Recoupment Policy). The PRSUs are also subject to the Kimberly-Clark Corporation Executive Officer Incentive Compensation Recovery Policy (such policy, as it may be amended from time to time, the “Recovery Policy”) if the Participant is a Covered Person (as defined in the Recovery Policy). The PRSUs are also subject to forfeiture and/or recoupment pursuant to Sections 19(m) and 20(k) herein. A recovery under this Award Agreement may be made by (i) cancelling any PRSUs which have not yet vested or been settled; (ii) recovering shares of Common Stock or cash equal to the value of the shares of Common Stock issued on settlement of the PRSUs, including shares resulting from dividend equivalents; (iii) recovering proceeds realized by the Participant on the sale of such Common Stock; (iv) withholding compensation otherwise due to the Participant; (v) payment by the Participant; and/or (vi) by such other means determined appropriate under the terms of the Recoupment Policy and/or the Recovery Policy. If the Participant is required to repay the Corporation, the Corporation is entitled to offset the payment in a way that is intended to avoid the application of penalties under Section 409A of the Code, if applicable.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Without limiting the foregoing, if, following a Participant’s termination of employment for a reason other than the Participant’s termination for Cause, the Corporation discovers facts that such Participant’s termination of employment could have been for Cause, such Participant’s termination of employment will be deemed to have been for Cause for all purposes, and as a result, (i) the Corporation will not issue shares of Common Stock or any other benefit otherwise payable to the Participant under the Plan and (ii) the Participant will be required to repay to the Corporation all proceeds received under the Plan that would not have been payable to such Participant had such termination of employment been for Cause.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Corporation shall have the right to suspend any and all rights or benefits awarded to the Participant hereunder, including vesting and settlement of the PRSUs, pending its investigation and final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56"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18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18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determination with regard to whether the Participant has engaged in conduct constituting Cause or that would warrant application of the Recoupment Policy or Recovery Policy.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By accepting the Award Grant and the terms of this Award Agreement, the Participant understands, acknowledges and accepts that the grant, shares of Common Stock issued under the Plan and proceeds realized by the Participant pursuant to the Plan are subject to the terms of the Recoupment Policy and the Recovery Policy, which the Participant has reviewed and understands, and the Corporation may seek recovery by any of the methods described in Section 21(a) or other such means determined appropriate under the terms of the Recoupment Policy and/or the Recovery Policy.</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22.    </w:t>
      </w:r>
      <w:r>
        <w:rPr>
          <w:rFonts w:ascii="Arial;sans-serif" w:hAnsi="Arial;sans-serif"/>
          <w:b w:val="false"/>
          <w:color w:val="000000"/>
          <w:sz w:val="20"/>
          <w:u w:val="single"/>
        </w:rPr>
        <w:t>Whistleblower Statutes</w:t>
      </w:r>
      <w:r>
        <w:rPr>
          <w:rFonts w:ascii="Arial;sans-serif" w:hAnsi="Arial;sans-serif"/>
          <w:b w:val="false"/>
          <w:color w:val="000000"/>
          <w:sz w:val="20"/>
        </w:rPr>
        <w:t>. Notwithstanding anything to the contrary in this Award Agreement, nothing in Sections 19, 20 or 21 of this Award Agreement is intended to or shall limit, prevent, impede or interfere with the Participant’s non-waivable right, without prior notice to the Corporation, to provide information to the government, participate in investigations, testify in proceedings regarding the Corporation, Employer or any Affiliate’s past or future conduct, engage in any activities protected under whistleblower statutes, or to receive and fully retain a monetary award from a government-administered whistleblower award program for providing information directly to a government agency. The Participant does not need prior authorization from the Corporation to make any such reports or disclosures and is not required to notify the Corporation that the Participant has made such reports or disclosures.</w:t>
      </w:r>
    </w:p>
    <w:p>
      <w:pPr>
        <w:pStyle w:val="TextBody"/>
        <w:bidi w:val="0"/>
        <w:spacing w:lineRule="auto" w:line="288" w:before="0" w:after="240"/>
        <w:jc w:val="left"/>
        <w:rPr/>
      </w:pPr>
      <w:r>
        <w:rPr>
          <w:rFonts w:ascii="Arial;sans-serif" w:hAnsi="Arial;sans-serif"/>
          <w:b w:val="false"/>
          <w:color w:val="000000"/>
          <w:sz w:val="20"/>
        </w:rPr>
        <w:t>23.    </w:t>
      </w:r>
      <w:r>
        <w:rPr>
          <w:rFonts w:ascii="Arial;sans-serif" w:hAnsi="Arial;sans-serif"/>
          <w:b w:val="false"/>
          <w:color w:val="000000"/>
          <w:sz w:val="20"/>
          <w:u w:val="single"/>
        </w:rPr>
        <w:t>Section 409A</w:t>
      </w:r>
      <w:r>
        <w:rPr>
          <w:rFonts w:ascii="Arial;sans-serif" w:hAnsi="Arial;sans-serif"/>
          <w:b w:val="false"/>
          <w:color w:val="000000"/>
          <w:sz w:val="20"/>
        </w:rPr>
        <w:t>. It is the intent of this Award Agreement that it and all payments and benefits hereunder be exempt from, or comply with, the requirements of Section 409A of the Code so that none of the PRSUs provided under this Award Agreement or shares of Common Stock issuable thereunder will be subject to the additional tax imposed under Section 409A of the Code, and any ambiguities herein will be interpreted to be so exempt or so comply.</w:t>
      </w:r>
    </w:p>
    <w:p>
      <w:pPr>
        <w:pStyle w:val="TextBody"/>
        <w:bidi w:val="0"/>
        <w:spacing w:lineRule="auto" w:line="288" w:before="0" w:after="240"/>
        <w:jc w:val="left"/>
        <w:rPr/>
      </w:pPr>
      <w:r>
        <w:rPr>
          <w:rFonts w:ascii="Arial;sans-serif" w:hAnsi="Arial;sans-serif"/>
          <w:b w:val="false"/>
          <w:color w:val="000000"/>
          <w:sz w:val="20"/>
        </w:rPr>
        <w:t>24.    </w:t>
      </w:r>
      <w:r>
        <w:rPr>
          <w:rFonts w:ascii="Arial;sans-serif" w:hAnsi="Arial;sans-serif"/>
          <w:b w:val="false"/>
          <w:color w:val="000000"/>
          <w:sz w:val="20"/>
          <w:u w:val="single"/>
        </w:rPr>
        <w:t>Acceptance of Award Terms and Conditions</w:t>
      </w:r>
      <w:r>
        <w:rPr>
          <w:rFonts w:ascii="Arial;sans-serif" w:hAnsi="Arial;sans-serif"/>
          <w:b w:val="false"/>
          <w:color w:val="000000"/>
          <w:sz w:val="20"/>
        </w:rPr>
        <w:t xml:space="preserve">. A Participant has until the end of the ninety (90) day period beginning from the Grant Date of this Award to accept this Award Agreement. If the Participant does not accept this Award Agreement on or before the end of such ninety (90) day period then the grant of the Award, as set forth in Section 1, shall not be binding on and shall be voidable by the Corporation, in which case it shall have no further force or effect. </w:t>
      </w:r>
    </w:p>
    <w:p>
      <w:pPr>
        <w:pStyle w:val="TextBody"/>
        <w:bidi w:val="0"/>
        <w:spacing w:lineRule="auto" w:line="288" w:before="0" w:after="240"/>
        <w:ind w:left="0" w:right="0" w:hanging="720"/>
        <w:jc w:val="left"/>
        <w:rPr>
          <w:rFonts w:ascii="Arial;sans-serif" w:hAnsi="Arial;sans-serif"/>
          <w:b/>
          <w:color w:val="000000"/>
          <w:sz w:val="20"/>
        </w:rPr>
      </w:pPr>
      <w:r>
        <w:rPr>
          <w:rFonts w:ascii="Arial;sans-serif" w:hAnsi="Arial;sans-serif"/>
          <w:b/>
          <w:color w:val="000000"/>
          <w:sz w:val="20"/>
        </w:rPr>
        <w:t>Acknowledgment of Conditions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understands, acknowledges and agrees to the following conditions with respect to the Award granted under the Plan: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Plan is established voluntarily by the Corporation, is discretionary in nature and may be modified, amended, suspended, cancelled or terminated at any time, to the extent permitted by the Plan. The grant of an Award is an exceptional, voluntary and occasional benefit and does not create any contractual or other right to receive an Award or benefits in lieu of an Award in the future, even if Awards have been granted in the past. Future grants, if any, will be at the sole discretion of the Corporation, including, but not limited to, the timing of any grant, the number of Awards and vesting provisions. </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Participation in the Plan is voluntary and does not create a right to employment with the Participant’s Employer, shall not be interpreted as forming an employment or service contract with the Corporation, and shall not interfere with the ability of the Employer to terminate the Participant’s employment relationship at any time. The Participant understands that the Corporation has unilaterally, gratuitously and discretionally decided to grant Awards under the Plan to individuals who are employees of the Corporation or its Affiliates throughout the world. The decision is a limited decision that is entered into upon the express assumption and condition that any grant will not economically or otherwise bind the Corporation or any of its Affiliates on an ongoing basis. Consequently, the Participant understands that any grant is given on the assumption and condition that it shall not become a part of any employment contract (either with the Corporation or any of its Affiliates) and shall not be considered a mandatory benefit, salary for any purposes (including severance compensation) or any other right whatsoever.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57"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19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19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Further, the 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be made but for the assumptions and conditions referred to above; thus, the Participant understands, acknowledges and freely accepts that should any or all of the assumptions be mistaken or should any of the conditions not be met for any reason, then the Award shall be null and void.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Award and the shares of Common Stock subject to the Award, and the income from and value of same, are extraordinary items that do not constitute compensation of any kind for services of any kind rendered to the Corporation or, if different, the Employer, and which are outside the scope of the Participant’s employment contract, if any, and are not intended to replace any pension rights or compensation. As such, the Award, and the income from and value of same, are not part of normal or expected compensation for purposes of calculating any severance, resignation, termination, redundancy, dismissal, end of service payments, bonuses, long-service awards, leave-related payments, holiday pay, pension, retirement or welfare benefits or similar payments and in no event shall be considered as compensation for, or relating in any way to, past services for the Corporation, the Employer or any other Affiliate. </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Unless otherwise agreed with the Corporation, the Award and shares of Common Stock subject to the Award, and the income from and value of same, are not granted as consideration for, or in connection with, any service the Participant may provide as a director of any Affiliate.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future value of the underlying shares of Common Stock is unknown, indeterminable, and cannot be predicted with certainty.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Award will be subject to any policy adopted by the Corporation relating to the recovery of such Award to the extent it is determined that the Performance Goals were not actually achieved.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No claim or entitlement to compensation or damages shall arise from forfeiture of the Award or recoupment of any shares of Common Stock acquired under the Plan resulting from (a) the termination of the Participant’s employment by the Corporation or the Employer (regardless of the reason for such termination and whether or not the termination is later found to be invalid or in breach of employment laws); and/or (b) an actual breach by the Participant of Section 19, Section 20, any stand-alone restrictive covenant agreement, or any local restrictive covenant agreement; and/or (c) the application of the Corporation’s Recoupment Policy, Recovery Policy, or any recovery or clawback policy required by law.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Corporation is not providing any tax, legal or financial advice, nor is the Corporation making any recommendations regarding participation in the Plan, or the acquisition or sale of the underlying shares of Common Stock. Further, the Participant understands that he or she should consult with his or her own advisors regarding participation in the Plan before taking any action related to the Plan.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Neither the Corporation, the Employer nor any other Affiliate shall be liable for any foreign exchange rate fluctuation between the Participant’s local currency and the United States Dollar that may affect the value of the PRSUs or of any amounts due to the Participant pursuant to the settlement of the PRSUs or the subsequent sale of any shares of Common Stock acquired upon settlement.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Regardless of any action the Corporation or the Employer takes with respect to any or all income tax (including federal, state and local taxes), social insurance, fringe benefit tax, payroll tax, payment on account or other tax-related items related to the Participant’s participation in the Plan and legally applicable to the Participant (“Tax-Related Items”), the Participant acknowledges that the ultimate liability for all Tax-Related Items is and remains the Participant’s responsibility and may exceed the amount, if any, actually withheld by the Corporation or the Employer. The Participant further acknowledges that the Corporation and/or the Employer (i) make no representations or undertakings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8"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20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20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regarding the treatment of any Tax-Related Items in connection with any aspect of the Award, including the grant of the PRSUs, the vesting of PRSUs, the conversion of the PRSUs into shares or the receipt of an equivalent cash payment, the subsequent sale of any shares acquired at vesting and the receipt of any dividends or dividend equivalents; and (ii) do not commit to and are under no obligation to structure the terms of the grant or any aspect of the Award to reduce or eliminate the Participant’s liability for Tax-Related Items or achieve any particular tax result. Further, if the Participant is subject to Tax-Related Items in more than one jurisdiction, the Participant acknowledges that the Corporation and/or the Employer (or former employer, as applicable) may be required to withhold or account for Tax-Related Items in more than one jurisdiction.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connection with the relevant taxable or tax withholding event, as applicable, the Participant shall pay or make adequate arrangements satisfactory to the Corporation and/or the Employer to satisfy or account for all applicable withholding obligations for Tax-Related Items. In this regard, the Participant authorizes the Corporation or the Employer, or their respective agents, at their discretion, to satisfy their withholding obligations, if any, with regard to all Tax-Related Items by one or a combination of the following: </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    withholding from the Participant’s wages or other cash compensation paid to the Participant by the Corporation and/or the Employer; or</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    withholding from the proceeds of the sale of shares acquired upon vesting of the Award either through a voluntary sale or through a mandatory sale arranged by the Corporation (on the Participant’s behalf, pursuant to this authorization); or</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    withholding shares to be issued upon vesting of the Award;</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provided, however, that if the Participant is subject to Section 16 of the U.S. Securities Exchange Act of 1934, as amended, then the Corporation will withhold in shares upon the relevant taxable or tax withholding event, as applicable, unless the use of such withholding method is not feasible under applicable tax or law or has materially adverse accounting consequences, in which case, the obligation for Tax-Related Items may be satisfied by one or a combination of methods (1), (2) and (3)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Corporation may withhold or account for Tax-Related Items by considering applicable statutory withholding amounts or other applicable withholding rates, including minimum rates or maximum applicable rates in applicable jurisdictions. In the event of over-withholding, the Participant may receive a refund of any over-withheld amount in cash (with no entitlement to the common stock equivalent), or if not refunded, the Participant may seek a refund from the applicable tax authorities. In the event of under-withholding, the Participant may be required to pay additional Tax-Related Items directly to the applicable tax authorities or to the Corporation or the Employer. If the obligation for Tax-Related Items is satisfied by withholding in shares, for tax purposes, the Participant is deemed to have been issued the full number of shares subject to the Award, notwithstanding that a number of shares is held back solely for the purpose of paying the Tax-Related Items due as a result of any aspect of the Participant’s participation in the Plan.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Participant shall pay to the Corporation or to the Employer any amount of Tax-Related Items that the Corporation or the Employer may be required to withhold or account for as a result of the Participant’s participation in the Plan that cannot be satisfied by the means previously described. The Corporation may refuse to deliver shares or the proceeds of the sale of shares to the Participant if he or she fails to comply with his or her obligations in connection with the Tax-Related Items.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Corporation is located at 351 Phelps Drive Irving, TX 75038, USA and grants employees of the Corporation and its Affiliates the opportunity to participate in the Plan, at the Corporation’s sole discretion. If the Participant would like to participate in the Plan and is an employee in a country outside the European Economic Area, the Participant understands that he or she should review the following information about the Corporation’s data processing practices and declare his or her consent. If the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9"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21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21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Participant is an employee in a country that is a member of the European Economic Area, the Participant should review the information about the Corporation’s data processing practices set forth in Appendix A attached hereto. </w:t>
      </w:r>
    </w:p>
    <w:p>
      <w:pPr>
        <w:pStyle w:val="TextBody"/>
        <w:bidi w:val="0"/>
        <w:spacing w:lineRule="auto" w:line="288" w:before="240" w:after="283"/>
        <w:ind w:left="0" w:right="0" w:hanging="360"/>
        <w:jc w:val="left"/>
        <w:rPr/>
      </w:pPr>
      <w:r>
        <w:rPr>
          <w:rFonts w:ascii="Arial;sans-serif" w:hAnsi="Arial;sans-serif"/>
          <w:b/>
          <w:color w:val="000000"/>
          <w:sz w:val="20"/>
        </w:rPr>
        <w:t>(i)</w:t>
      </w:r>
      <w:r>
        <w:rPr>
          <w:rFonts w:ascii="Arial;sans-serif" w:hAnsi="Arial;sans-serif"/>
          <w:b/>
          <w:i/>
          <w:color w:val="000000"/>
          <w:sz w:val="20"/>
        </w:rPr>
        <w:t>Data Collection and Usage. The Corporation collects, processes and uses the Participant’s personal data, including, name, home address, email address and telephone number, date of birth, social insurance number, passport or other identification number, salary, citizenship, nationality, job title, any shares of stock or directorships held in the Corporation, and details of all awards, canceled, vested, or outstanding in the Participant’s favor, which the Corporation receives from the Participant or the Participant’s Employer. If the Corporation offers the Participant the opportunity to participate in the Plan, then the Corporation will collect the Participant’s personal data for purposes of allocating stock and implementing, administering and managing the Plan. The Corporation’s legal basis for the processing of the Participant's personal data would be the Participant’s consent.</w:t>
      </w:r>
    </w:p>
    <w:p>
      <w:pPr>
        <w:pStyle w:val="TextBody"/>
        <w:bidi w:val="0"/>
        <w:spacing w:lineRule="auto" w:line="288" w:before="240" w:after="283"/>
        <w:ind w:left="0" w:right="0" w:hanging="360"/>
        <w:jc w:val="left"/>
        <w:rPr/>
      </w:pPr>
      <w:r>
        <w:rPr>
          <w:rFonts w:ascii="Arial;sans-serif" w:hAnsi="Arial;sans-serif"/>
          <w:b/>
          <w:color w:val="000000"/>
          <w:sz w:val="20"/>
        </w:rPr>
        <w:t>(ii)</w:t>
      </w:r>
      <w:r>
        <w:rPr>
          <w:rFonts w:ascii="Arial;sans-serif" w:hAnsi="Arial;sans-serif"/>
          <w:b/>
          <w:i/>
          <w:color w:val="000000"/>
          <w:sz w:val="20"/>
        </w:rPr>
        <w:t>Stock Plan Administration Service Providers. The Corporation transfers participant data to Merrill Lynch, an independent service provider based in the United States, which assists the Corporation with the implementation, administration and management of the Plan. In the future, the Corporation may select a different service provider and share the Participant’s data with another company that serves in a similar manner. The Corporation’s service provider will open an account for the Participant. The Participant will be asked to agree on separate terms and data processing practices with the service provider, which is a condition for participation in the Plan.</w:t>
      </w:r>
    </w:p>
    <w:p>
      <w:pPr>
        <w:pStyle w:val="TextBody"/>
        <w:bidi w:val="0"/>
        <w:spacing w:lineRule="auto" w:line="288" w:before="240" w:after="283"/>
        <w:ind w:left="0" w:right="0" w:hanging="360"/>
        <w:jc w:val="left"/>
        <w:rPr/>
      </w:pPr>
      <w:r>
        <w:rPr>
          <w:rFonts w:ascii="Arial;sans-serif" w:hAnsi="Arial;sans-serif"/>
          <w:b/>
          <w:color w:val="000000"/>
          <w:sz w:val="20"/>
        </w:rPr>
        <w:t>(iii)</w:t>
      </w:r>
      <w:r>
        <w:rPr>
          <w:rFonts w:ascii="Arial;sans-serif" w:hAnsi="Arial;sans-serif"/>
          <w:b/>
          <w:i/>
          <w:color w:val="000000"/>
          <w:sz w:val="20"/>
        </w:rPr>
        <w:t xml:space="preserve">International Data Transfers. The Corporation and its service providers are based in the United States. If the Participant is outside of the United States, the Participant should note that his or her country may have enacted data privacy laws that are different from the United States. The Corporation’s legal basis for the transfer of the Participant’s personal data is the Participant’s consent. </w:t>
      </w:r>
    </w:p>
    <w:p>
      <w:pPr>
        <w:pStyle w:val="TextBody"/>
        <w:bidi w:val="0"/>
        <w:spacing w:lineRule="auto" w:line="288" w:before="240" w:after="283"/>
        <w:ind w:left="0" w:right="0" w:hanging="360"/>
        <w:jc w:val="left"/>
        <w:rPr/>
      </w:pPr>
      <w:r>
        <w:rPr>
          <w:rFonts w:ascii="Arial;sans-serif" w:hAnsi="Arial;sans-serif"/>
          <w:b/>
          <w:color w:val="000000"/>
          <w:sz w:val="20"/>
        </w:rPr>
        <w:t>(iv)</w:t>
      </w:r>
      <w:r>
        <w:rPr>
          <w:rFonts w:ascii="Arial;sans-serif" w:hAnsi="Arial;sans-serif"/>
          <w:b/>
          <w:i/>
          <w:color w:val="000000"/>
          <w:sz w:val="20"/>
        </w:rPr>
        <w:t>Data Retention. The Corporation will use the Participant’s personal data only as long as is necessary to implement, administer and manage his or her participation in the Plan or as required to comply with legal or regulatory obligations, including under tax and security laws. This period may extend until the Participant’s employment or service with the Corporation is terminated, plus any additional time periods necessary for compliance with law, exercise or defense of legal rights, and archiving, back-up and deletion processes.</w:t>
      </w:r>
    </w:p>
    <w:p>
      <w:pPr>
        <w:pStyle w:val="TextBody"/>
        <w:bidi w:val="0"/>
        <w:spacing w:lineRule="auto" w:line="288" w:before="240" w:after="283"/>
        <w:ind w:left="0" w:right="0" w:hanging="360"/>
        <w:jc w:val="left"/>
        <w:rPr/>
      </w:pPr>
      <w:r>
        <w:rPr>
          <w:rFonts w:ascii="Arial;sans-serif" w:hAnsi="Arial;sans-serif"/>
          <w:b/>
          <w:color w:val="000000"/>
          <w:sz w:val="20"/>
        </w:rPr>
        <w:t>(v)</w:t>
      </w:r>
      <w:r>
        <w:rPr>
          <w:rFonts w:ascii="Arial;sans-serif" w:hAnsi="Arial;sans-serif"/>
          <w:b/>
          <w:i/>
          <w:color w:val="000000"/>
          <w:sz w:val="20"/>
        </w:rPr>
        <w:t>Voluntariness and Consequences of Consent Denial or Withdrawal. The Participant’s participation in the Plan and the Participant’s grant of consent is purely voluntary. The Participant may deny or withdraw his or her consent at any time. If the Participant does not consent, or if he or she withdraws their consent, the Participant cannot participate in the Plan. This would not affect the Participant’s salary as an employee; the Participant would merely forfeit the opportunities associated with the Plan.</w:t>
      </w:r>
    </w:p>
    <w:p>
      <w:pPr>
        <w:pStyle w:val="TextBody"/>
        <w:bidi w:val="0"/>
        <w:spacing w:lineRule="auto" w:line="288" w:before="240" w:after="283"/>
        <w:ind w:left="0" w:right="0" w:hanging="360"/>
        <w:jc w:val="left"/>
        <w:rPr/>
      </w:pPr>
      <w:r>
        <w:rPr>
          <w:rFonts w:ascii="Arial;sans-serif" w:hAnsi="Arial;sans-serif"/>
          <w:b/>
          <w:color w:val="000000"/>
          <w:sz w:val="20"/>
        </w:rPr>
        <w:t>(vi)</w:t>
      </w:r>
      <w:r>
        <w:rPr>
          <w:rFonts w:ascii="Arial;sans-serif" w:hAnsi="Arial;sans-serif"/>
          <w:b/>
          <w:i/>
          <w:color w:val="000000"/>
          <w:sz w:val="20"/>
        </w:rPr>
        <w:t>Data Subject Rights. The Participant has a number of rights under data privacy laws in his or her country. Depending on where the Participant is based, the Participant’s rights may include the right to (i) request access or copies of personal data the Corporation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the rights please contact the Corporation at Attn: Long-</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60" name="Frame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22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22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term Incentive Plan Administration at Kimberly Clark, 351 Phelps Drive Irving, TX 75038, USA. </w: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also understands that the Corporation may rely on a different legal basis for the processing or transfer of data in the future and/or request that the Participant provides another data privacy consent.  If applicable and upon request of the Corporation, the Participant agrees to provide an executed acknowledgment or data privacy consent form to the Corporation or the Employer (or any other acknowledgments, agreements or consents) that the Corporation and/or the Employer may deem necessary to obtain under the data privacy laws in the Participant’s country, either now or in the future.  The Participant understands that he or she will not be able to participate in the Plan if the Participant fails to execute any such acknowledgment, agreement or consent requested by the Corporation and/or the Employer.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Participant agrees with the data processing practices described in this notice, the Participant will declare his or her consent by clicking the "Accept" icon on the Merrill Lynch website.</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understands that he or she is solely responsible for obtaining/providing whatever exchange control approvals, permits, licenses or notices, which may be necessary for the Award, to acquire the shares or to hold or sell the shares subject to the Award. Neither the Corporation nor its Affiliates will be responsible for obtaining such approvals, licenses or permits, or for making any such notices, nor will the Corporation or its Affiliates be liable for any fines or penalties the Participant may incur for failure to obtain any required approvals, permits or licenses or to make any required notices.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accepting the grant of this Award, the Participant acknowledges that he or she has received a copy of the Plan and the Award Agreement and has reviewed the Plan and the Award Agreement, including Appendix A and Appendix B, in their entirety and fully understands and accepts all provisions of the Plan and the Award Agreement, including Appendix A and Appendix B.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acknowledges that he or she has read and specifically and expressly approves the following sections of the Award Agreement: Section 2(g) on Payment of Tax-Related Items; Section 5 on No Right of Continued Employment; Section 8 on Governing Law and Consent to Jurisdiction; the section on Acknowledgment of Conditions; and the Data Privacy Notice sections of both the Award Agreement and Appendix A for the Participant's country.</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Subject to Sections 19(r) and 20(p), the provisions of this Award Agreement are severable and if one or more of the provisions of this Award Agreement shall be held invalid, illegal or otherwise unenforceable, in whole or in part, the remaining provisions shall nonetheless be binding and enforceable. To the extent that any provisions of this Award Agreement are held to be invalid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acknowledges that he or she is sufficiently proficient in English, or has consulted with an advisor who is sufficiently proficient in English, so as to allow the Participant to understand the terms and conditions of this Award Agreement. Furthermore, if the Participant has received this Award Agreement or any other document related to the Plan translated into a language other than English and if the meaning of the translated version is different than the English version, the English version will control, unless otherwise explicitly required under applicable laws.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Notwithstanding any provisions in this Award Agreement, the Award shall be subject to any additional terms and conditions set forth in Appendix A to this Award Agreement for the Participant's country. Moreover, if the Participant relocates to any of the countries included in Appendix A, the additional terms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61" name="Frame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23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23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and conditions for such country will apply to the Participant, to the extent the Corporation determines that the application of such terms and conditions is necessary or advisable for legal or administrative reasons. Appendix A and Appendix B constitute part of this Award Agreement.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acknowledges that the grant of an Award is expressly conditioned on the restrictive covenants set forth in Sections 19 and 20.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Corporation reserves the right to impose other requirements on the Participant's participation in the Plan, on the Award and on any shares acquired under the Plan, to the extent the Corporation determines it is necessary or advisable for legal or administrative reasons, and to require the Participant to sign any additional agreements or undertakings that may be necessary to accomplish the foregoing.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Corporation may, in its sole discretion, decide to deliver any documents related to current or future participation in the Plan by electronic means. The Participant hereby consents to receive such documents by on-line delivery and agrees to participate in the Plan through an on-line or electronic system established and maintained by the Corporation or a third-party designated by the Corporation.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 waiver by the Corporation of breach of any provision of this Award Agreement shall not operate or be construed as a waiver of any other provision of this Award Agreement, or of any subsequent breach by the Participant or any other participant. </w:t>
      </w:r>
    </w:p>
    <w:p>
      <w:pPr>
        <w:pStyle w:val="TextBody"/>
        <w:bidi w:val="0"/>
        <w:spacing w:lineRule="auto" w:line="288" w:before="0" w:after="240"/>
        <w:jc w:val="left"/>
        <w:rPr/>
      </w:pPr>
      <w:r>
        <w:rPr>
          <w:rFonts w:ascii="Arial;sans-serif" w:hAnsi="Arial;sans-serif"/>
          <w:b w:val="false"/>
          <w:color w:val="000000"/>
          <w:sz w:val="20"/>
        </w:rPr>
        <w:t>The Participant may be subject to insider trading restrictions and/or market abuse laws in applicable jurisdictions, which may affect the Participant's ability to, directly or indirectly, accept, acquire, sell, or attempt to sell or otherwise dispose of shares of Common Stock or rights to shares of Common Stock (</w:t>
      </w:r>
      <w:r>
        <w:rPr>
          <w:rFonts w:ascii="Arial;sans-serif" w:hAnsi="Arial;sans-serif"/>
          <w:b w:val="false"/>
          <w:i/>
          <w:color w:val="000000"/>
          <w:sz w:val="20"/>
        </w:rPr>
        <w:t>e.g.</w:t>
      </w:r>
      <w:r>
        <w:rPr>
          <w:rFonts w:ascii="Arial;sans-serif" w:hAnsi="Arial;sans-serif"/>
          <w:b w:val="false"/>
          <w:color w:val="000000"/>
          <w:sz w:val="20"/>
        </w:rPr>
        <w:t xml:space="preserve">, PRSUs), or rights linked to the value of shares of Common Stock during such times as the Participant is considered to have “inside information” regarding the Corporation (as defined by the laws in the applicable jurisdictions or the Participant's country). Local insider trading laws and regulations may prohibit the cancellation or amendment of orders the Participant placed before possessing inside information. Furthermore, the Participant may be prohibited from (i) disclosing the inside information to any third party, including fellow employees (other than on a “need to know” basis) and (ii) “tipping” third parties or causing them to otherwise buy or sell Corporation securities. Any restrictions under these laws or regulations are separate from and in addition to any restrictions that may be imposed under any applicable Corporation insider trading policy. The Participant is responsible for ensuring his or her compliance with any applicable restrictions and is advised to speak with his or her personal legal advisor on this matter.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Participant's country may have certain foreign asset and/or foreign account reporting requirements, tax and/or exchange controls which may affect the Participant's ability to acquire or hold shares of Common Stock acquired under the Plan or cash received from participating in the Plan (including from any dividends paid on shares acquired under the Plan) in a brokerage or bank account outside the Participant's country. The Participant may be required to report such accounts, assets or transactions to the tax or other authorities in the Participant's country. The Participant also may be required to repatriate sale proceeds or other funds received as a result of participation in the Plan to his or her country through a designated bank or broker within a certain time after receipt. In addition, the Participant agrees to take any and all actions, and consent to any and all actions taken by the Corporation or the Employer as may be required to allow the Corporation or the Employer to comply with local laws, rules and regulations in the Participant's country of residence (and country of employment, if different). Finally, the Participant agrees to take any and all actions as may be required to comply with their personal legal and tax obligations under local laws, rules and regulations in their country of residence (and country of employment, if different). The Participant should consult his or her personal legal advisor for any details. </w:t>
      </w:r>
    </w:p>
    <w:p>
      <w:pPr>
        <w:pStyle w:val="TextBody"/>
        <w:bidi w:val="0"/>
        <w:spacing w:lineRule="auto" w:line="288" w:before="0" w:after="480"/>
        <w:jc w:val="left"/>
        <w:rPr>
          <w:rFonts w:ascii="Arial;sans-serif" w:hAnsi="Arial;sans-serif"/>
          <w:b w:val="false"/>
          <w:color w:val="000000"/>
          <w:sz w:val="20"/>
        </w:rPr>
      </w:pPr>
      <w:r>
        <w:rPr>
          <w:rFonts w:ascii="Arial;sans-serif" w:hAnsi="Arial;sans-serif"/>
          <w:b w:val="false"/>
          <w:color w:val="000000"/>
          <w:sz w:val="20"/>
        </w:rPr>
        <w:t xml:space="preserve">The Participant acknowledges that he or she has reviewed the Corporation’s Code of Conduct. The Participant further acknowledges that he or she understands and will comply with the terms and standards contained in that Code of Conduct, including but not limited to the prohibition against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62" name="Frame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24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24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left"/>
        <w:rPr>
          <w:rFonts w:ascii="Arial;sans-serif" w:hAnsi="Arial;sans-serif"/>
          <w:b w:val="false"/>
          <w:color w:val="000000"/>
          <w:sz w:val="20"/>
        </w:rPr>
      </w:pPr>
      <w:r>
        <w:rPr>
          <w:rFonts w:ascii="Arial;sans-serif" w:hAnsi="Arial;sans-serif"/>
          <w:b w:val="false"/>
          <w:color w:val="000000"/>
          <w:sz w:val="20"/>
        </w:rPr>
        <w:t xml:space="preserve">retaliation, and specifically acknowledges that he or she has an obligation to report suspected violations of the Code of Conduct pursuant to the Corporation’s Escalation Policy. </w:t>
      </w:r>
    </w:p>
    <w:p>
      <w:pPr>
        <w:pStyle w:val="TextBody"/>
        <w:bidi w:val="0"/>
        <w:spacing w:lineRule="auto" w:line="288" w:before="0" w:after="480"/>
        <w:jc w:val="left"/>
        <w:rPr>
          <w:rFonts w:ascii="Arial;sans-serif" w:hAnsi="Arial;sans-serif"/>
          <w:b/>
          <w:color w:val="000000"/>
          <w:sz w:val="20"/>
        </w:rPr>
      </w:pPr>
      <w:r>
        <w:rPr>
          <w:rFonts w:ascii="Arial;sans-serif" w:hAnsi="Arial;sans-serif"/>
          <w:b/>
          <w:color w:val="000000"/>
          <w:sz w:val="20"/>
        </w:rPr>
        <w:t>Conclusion and Acceptance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accepts this grant via electronic signature by clicking the "Accept" icon and certifies that he or she has read, understands and agrees to the terms and conditions of the 2021 Equity Participation Plan (the "Plan"), the provisions of the applicable Award Agreement and all other applicable documents (including any country-specific terms applicable to the Participant's grant). The Participant hereby authorizes the Employer to furnish the Corporation (and any agent administering the Plan or providing recordkeeping services) with such information and data as it shall request in order to facilitate the grant of Awards and enable administration of the Plan and the Participant understands that such information shall be used only as long and to the extent necessary to administer the Participant's participation in the Plan. The Participant agrees that his or her participation in the Plan and the Awards granted to the Participant under the Plan will be governed solely by Delaware law.</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63" name="Frame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25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25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PERFORMANCE RESTRICTED STOCK UNIT</w:t>
      </w:r>
    </w:p>
    <w:p>
      <w:pPr>
        <w:pStyle w:val="TextBody"/>
        <w:bidi w:val="0"/>
        <w:spacing w:lineRule="auto" w:line="288" w:before="0" w:after="240"/>
        <w:jc w:val="center"/>
        <w:rPr/>
      </w:pPr>
      <w:r>
        <w:rPr>
          <w:rFonts w:ascii="Arial;sans-serif" w:hAnsi="Arial;sans-serif"/>
          <w:b/>
          <w:color w:val="000000"/>
          <w:sz w:val="20"/>
        </w:rPr>
        <w:t>AWARD AGREEMENT</w:t>
      </w:r>
      <w:r>
        <w:rPr>
          <w:color w:val="000000"/>
        </w:rPr>
        <w:t xml:space="preserve"> </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APPENDIX 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Certain capitalized terms used but not defined in this Appendix A have the meanings set forth in the Plan and/or the Award Agreement.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This Appendix A includes additional terms and conditions that govern the Award granted to the Participant under the Plan if the Participant resides and/or works in any of the countries listed below.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Appendix A also includes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November 2025. Such laws are often complex and change frequently. As a result, the Participant should not rely on the information noted herein as the only source of information relating to the consequences of the Participant’s participation in the Plan because the information may be out of date at vesting of the Award or the subsequent sale of the shares or receipt of any dividends or dividend equivalents.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the information is general in nature and may not apply to the Participant’s particular situation, and the Corporation is not in a position to assure the Participant of any particular result. Accordingly, the Participant is advised to seek appropriate professional advice as to how the relevant laws in the Participant’s country may apply to the Participant’s situation.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Finally, if the Participant is a citizen or resident of a country other than the one in which the Participant is currently residing and/or working, transferred or transfers employment and or residency after the Award is granted or is considered a resident of another country for local law purposes, the information contained herein may not be applicable to the Participant. The Corporation shall, in its sole discretion, determine to what extent the terms and conditions included herein will apply to the Participant in such circumstances.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EUROPEAN ECONOMIC AREA (INCLUDING THE UNITED KINGDOM) AND SWITZERLAND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Data Protection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Participants resident in a country in the European Economic Area, Switzerland or the United Kingdom, the following language replaces in its entirety the data privacy section in the Acknowledgment of Conditions section of the Award Agreement:</w:t>
      </w:r>
    </w:p>
    <w:p>
      <w:pPr>
        <w:pStyle w:val="TextBody"/>
        <w:bidi w:val="0"/>
        <w:spacing w:lineRule="auto" w:line="288" w:before="0" w:after="240"/>
        <w:ind w:left="0" w:right="0" w:firstLine="540"/>
        <w:jc w:val="left"/>
        <w:rPr/>
      </w:pPr>
      <w:r>
        <w:rPr>
          <w:rFonts w:ascii="Arial;sans-serif" w:hAnsi="Arial;sans-serif"/>
          <w:b w:val="false"/>
          <w:color w:val="000000"/>
          <w:sz w:val="20"/>
        </w:rPr>
        <w:t>(a)</w:t>
      </w:r>
      <w:r>
        <w:rPr>
          <w:rFonts w:ascii="Arial;sans-serif" w:hAnsi="Arial;sans-serif"/>
          <w:b/>
          <w:i/>
          <w:color w:val="000000"/>
          <w:sz w:val="20"/>
        </w:rPr>
        <w:t xml:space="preserve">The Participant is hereby notified of the collection, use and transfer outside of the European Economic Area, as described in the Award Agreement, in electronic or other form, of his or her Personal Data (defined below) by and among, as applicable, the Corporation and certain of its Affiliates for the exclusive and legitimate purpose of implementing, administering and managing the Participant’s participation in the Plan. </w:t>
      </w:r>
    </w:p>
    <w:p>
      <w:pPr>
        <w:pStyle w:val="TextBody"/>
        <w:bidi w:val="0"/>
        <w:spacing w:lineRule="auto" w:line="288" w:before="0" w:after="240"/>
        <w:ind w:left="0" w:right="0" w:firstLine="540"/>
        <w:jc w:val="left"/>
        <w:rPr/>
      </w:pPr>
      <w:r>
        <w:rPr>
          <w:rFonts w:ascii="Arial;sans-serif" w:hAnsi="Arial;sans-serif"/>
          <w:b w:val="false"/>
          <w:color w:val="000000"/>
          <w:sz w:val="20"/>
        </w:rPr>
        <w:t>(b)</w:t>
      </w:r>
      <w:r>
        <w:rPr>
          <w:rFonts w:ascii="Arial;sans-serif" w:hAnsi="Arial;sans-serif"/>
          <w:b/>
          <w:i/>
          <w:color w:val="000000"/>
          <w:sz w:val="20"/>
        </w:rPr>
        <w:t>The Participant understands that the Corporation and the Employer hold certain personal information about the Participant, including, but not limited to, the Participant’s name, home address and telephone number, email address, date of birth, social insurance number, passport or other identification number, salary, nationality, job title, any shares of Common Stock or directorships held in the Corporation, details of all entitlement to shares of Common Stock awarded, canceled, exercised, vested, unvested or outstanding in Participant’s favor (“Personal Data”), for the purpose of implementing, administering and managing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64" name="Frame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26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26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540"/>
        <w:jc w:val="left"/>
        <w:rPr/>
      </w:pPr>
      <w:r>
        <w:rPr>
          <w:rFonts w:ascii="Arial;sans-serif" w:hAnsi="Arial;sans-serif"/>
          <w:b w:val="false"/>
          <w:color w:val="000000"/>
          <w:sz w:val="20"/>
        </w:rPr>
        <w:t>(c)</w:t>
      </w:r>
      <w:r>
        <w:rPr>
          <w:rFonts w:ascii="Arial;sans-serif" w:hAnsi="Arial;sans-serif"/>
          <w:b/>
          <w:i/>
          <w:color w:val="000000"/>
          <w:sz w:val="20"/>
        </w:rPr>
        <w:t xml:space="preserve">The Participant understands that providing the Corporation with this Personal Data is necessary for the performance of the Award Agreement and that the Participant's refusal to provide the Personal Data would make it impossible for the Corporation to perform its contractual obligations and may affect the Participant's ability to participate in the Plan. The Participant's Personal Data shall be accessible within the Corporation only by the persons specifically charged with Personal Data processing operations and by the persons that need to access the Personal Data because of their duties and position in relation to the performance of the Award Agreement. </w:t>
      </w:r>
    </w:p>
    <w:p>
      <w:pPr>
        <w:pStyle w:val="TextBody"/>
        <w:bidi w:val="0"/>
        <w:spacing w:lineRule="auto" w:line="288" w:before="0" w:after="240"/>
        <w:ind w:left="0" w:right="0" w:firstLine="540"/>
        <w:jc w:val="left"/>
        <w:rPr/>
      </w:pPr>
      <w:r>
        <w:rPr>
          <w:rFonts w:ascii="Arial;sans-serif" w:hAnsi="Arial;sans-serif"/>
          <w:b w:val="false"/>
          <w:color w:val="000000"/>
          <w:sz w:val="20"/>
        </w:rPr>
        <w:t>(d)</w:t>
      </w:r>
      <w:r>
        <w:rPr>
          <w:rFonts w:ascii="Arial;sans-serif" w:hAnsi="Arial;sans-serif"/>
          <w:b/>
          <w:i/>
          <w:color w:val="000000"/>
          <w:sz w:val="20"/>
        </w:rPr>
        <w:t>The Personal Data will be held only as long as is necessary to implement, administer and manage the Participant’s participation in the Plan or as required to comply with legal or regulatory obligations, including under tax and security laws. This period may extend until the Participant’s employment or service with the Corporation is terminated, plus any additional time periods necessary for compliance with law, exercise or defense of legal rights, and archiving, back-up and deletion processes. The Participant may, at any time and without cost, contact Long-term Incentive Plan Administration at Kimberly Clark, 351 Phelps Drive Irving, TX 75038, USA to enforce his or her rights under the data protection laws in the Participant's country, which may include the right to (i) request access or copies of Personal Data subject to processing; (ii) request rectification of incorrect Personal Data; (iii) request deletion of Personal Data; (iv) request restriction on processing of Personal Data; (v) request portability of Personal Data; (vi) lodge complaints with competent authorities in the Participant's country; and/or (vii) request a list with the names and addresses of any potential recipients of Personal Data.</w:t>
      </w:r>
    </w:p>
    <w:p>
      <w:pPr>
        <w:pStyle w:val="TextBody"/>
        <w:bidi w:val="0"/>
        <w:spacing w:lineRule="auto" w:line="288" w:before="0" w:after="240"/>
        <w:ind w:left="0" w:right="0" w:firstLine="540"/>
        <w:jc w:val="left"/>
        <w:rPr/>
      </w:pPr>
      <w:r>
        <w:rPr>
          <w:rFonts w:ascii="Arial;sans-serif" w:hAnsi="Arial;sans-serif"/>
          <w:b w:val="false"/>
          <w:color w:val="000000"/>
          <w:sz w:val="20"/>
        </w:rPr>
        <w:t>(e)</w:t>
      </w:r>
      <w:r>
        <w:rPr>
          <w:rFonts w:ascii="Arial;sans-serif" w:hAnsi="Arial;sans-serif"/>
          <w:b/>
          <w:i/>
          <w:color w:val="000000"/>
          <w:sz w:val="20"/>
        </w:rPr>
        <w:t xml:space="preserve">The Corporation provides appropriate safeguards for protecting Personal Data that it receives in the U.S. through its adherence to data transfer agreements entered into between the Corporation and its Affiliates within the European Union. </w:t>
      </w:r>
    </w:p>
    <w:p>
      <w:pPr>
        <w:pStyle w:val="TextBody"/>
        <w:bidi w:val="0"/>
        <w:spacing w:lineRule="auto" w:line="288" w:before="0" w:after="240"/>
        <w:ind w:left="0" w:right="0" w:firstLine="540"/>
        <w:jc w:val="left"/>
        <w:rPr/>
      </w:pPr>
      <w:r>
        <w:rPr>
          <w:rFonts w:ascii="Arial;sans-serif" w:hAnsi="Arial;sans-serif"/>
          <w:b w:val="false"/>
          <w:color w:val="000000"/>
          <w:sz w:val="20"/>
        </w:rPr>
        <w:t>(f)</w:t>
      </w:r>
      <w:r>
        <w:rPr>
          <w:rFonts w:ascii="Arial;sans-serif" w:hAnsi="Arial;sans-serif"/>
          <w:b/>
          <w:i/>
          <w:color w:val="000000"/>
          <w:sz w:val="20"/>
        </w:rPr>
        <w:t xml:space="preserve">Further, the Participant understands that the Corporation will transfer Personal Data to Merrill Lynch and/or such other third parties as may be selected by the Corporation, which are assisting the Corporation with the implementation, administration and management of the Plan. The Corporation may select a different service provider or additional service providers and share Personal Data with such other provider(s) serving in a similar manner. The Participant may be asked to agree on separate terms and data processing practices with the service provider, with such agreement being a condition to the ability to participate in the Plan. </w:t>
      </w:r>
    </w:p>
    <w:p>
      <w:pPr>
        <w:pStyle w:val="TextBody"/>
        <w:bidi w:val="0"/>
        <w:spacing w:lineRule="auto" w:line="288" w:before="0" w:after="240"/>
        <w:ind w:left="0" w:right="0" w:firstLine="540"/>
        <w:jc w:val="left"/>
        <w:rPr/>
      </w:pPr>
      <w:r>
        <w:rPr>
          <w:rFonts w:ascii="Arial;sans-serif" w:hAnsi="Arial;sans-serif"/>
          <w:b w:val="false"/>
          <w:color w:val="000000"/>
          <w:sz w:val="20"/>
        </w:rPr>
        <w:t>(g)</w:t>
      </w:r>
      <w:r>
        <w:rPr>
          <w:rFonts w:ascii="Arial;sans-serif" w:hAnsi="Arial;sans-serif"/>
          <w:b/>
          <w:i/>
          <w:color w:val="000000"/>
          <w:sz w:val="20"/>
        </w:rPr>
        <w:t xml:space="preserve">Merrill Lynch is based in the United States. The Participant's country or jurisdiction may have different data privacy laws and protections than the United States. Notwithstanding, by participating in the Plan, the Participant agrees to the transfer of his or her Personal Data to Merrill Lynch for the exclusive purpose of administering the Participant's participation in the Plan. The Corporation's legal basis, where required, for the transfer of Data to Merrill Lynch is the Participant's consent. </w:t>
      </w:r>
    </w:p>
    <w:p>
      <w:pPr>
        <w:pStyle w:val="TextBody"/>
        <w:bidi w:val="0"/>
        <w:spacing w:lineRule="auto" w:line="288" w:before="0" w:after="240"/>
        <w:ind w:left="0" w:right="0" w:firstLine="540"/>
        <w:jc w:val="left"/>
        <w:rPr/>
      </w:pPr>
      <w:r>
        <w:rPr>
          <w:rFonts w:ascii="Arial;sans-serif" w:hAnsi="Arial;sans-serif"/>
          <w:b w:val="false"/>
          <w:color w:val="000000"/>
          <w:sz w:val="20"/>
        </w:rPr>
        <w:t>(h)</w:t>
      </w:r>
      <w:r>
        <w:rPr>
          <w:rFonts w:ascii="Arial;sans-serif" w:hAnsi="Arial;sans-serif"/>
          <w:b/>
          <w:i/>
          <w:color w:val="000000"/>
          <w:sz w:val="20"/>
        </w:rPr>
        <w:t xml:space="preserve">Finally, the Participant may choose to opt out of allowing the Corporation to share his or her Personal Data with Merrill Lynch and others as described above, although execution of such choice may mean the Corporation cannot grant awards under the Plan to the Participant. For questions about this choice or to make this choice, the Participant should contact Long-term Incentive Plan Administration at Kimberly Clark, 351 Phelps Drive Irving, TX 75038, USA.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ARGENTINA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PRSUs and the underlying shares of Common Stock have not been and will not be publicly issued, placed, distributed, offered or registered in the Argentine capital markets and, as a result, have not been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7665"/>
                <wp:effectExtent l="0" t="0" r="0" b="0"/>
                <wp:wrapNone/>
                <wp:docPr id="65" name="Frame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27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27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 will not be registered with the Argentine Securities Commission (Comision Nacional de Valores, “CNV”). Neither the Award Agreement nor any other offering materials relates to the PRSUs nor the underlying shares of Common Stock may be utilized in connection with any general offering to the public in Argentina. Any Argentine resident who acquires shares of Common Stock under the Plan does so under their own responsibility under the terms of a private offering made to the Argentine resident from outside Argentina. Any Argentine resident who acquires shares of Common Stock shall not transfer such shares of Common Stock to any other person within six (6) months of acquiring the shares of Common Stock, unless the transaction is conducted outside Argentina.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Argentine residents must report any shares of Common Stock acquired under the Plan and held on December 31st of each year on their annual tax return for the year.</w:t>
      </w:r>
    </w:p>
    <w:p>
      <w:pPr>
        <w:pStyle w:val="TextBody"/>
        <w:bidi w:val="0"/>
        <w:spacing w:lineRule="auto" w:line="288" w:before="0" w:after="240"/>
        <w:jc w:val="left"/>
        <w:rPr/>
      </w:pPr>
      <w:r>
        <w:rPr>
          <w:rFonts w:ascii="Arial;sans-serif" w:hAnsi="Arial;sans-serif"/>
          <w:b w:val="false"/>
          <w:i/>
          <w:color w:val="000000"/>
          <w:sz w:val="20"/>
        </w:rPr>
        <w:t xml:space="preserve">Exchange </w:t>
      </w:r>
      <w:r>
        <w:rPr>
          <w:rFonts w:ascii="Arial;sans-serif" w:hAnsi="Arial;sans-serif"/>
          <w:b w:val="false"/>
          <w:color w:val="000000"/>
          <w:sz w:val="20"/>
        </w:rPr>
        <w:t>Control</w:t>
      </w:r>
      <w:r>
        <w:rPr>
          <w:color w:val="000000"/>
        </w:rPr>
        <w:t xml:space="preserve"> </w:t>
      </w:r>
      <w:r>
        <w:rPr>
          <w:rFonts w:ascii="Arial;sans-serif" w:hAnsi="Arial;sans-serif"/>
          <w:b w:val="false"/>
          <w:i/>
          <w:color w:val="000000"/>
          <w:sz w:val="20"/>
        </w:rPr>
        <w:t>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Please note that exchange control regulations in Argentina are subject to frequent change. The Participant should consult with his or her personal legal advisor regarding any exchange control obligations the Participant may have in connection with the Participant’s participation in the Plan. The Participant must comply with any and all Argentine currency exchange restrictions, approvals and reporting requirements in connection with the vesting of the PRSUs, the subsequent sale of any shares acquired at vesting and the receipt of any dividends paid on such shares.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AUSTRALIA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This offer is being made under Division 1A, Part 7.12 of the Australia Corporations Act 2001 (Cth).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Tax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Plan is a plan to which Subdivision 83A-C of the Income Tax Assessment Act 1997 (Cth) (the “Act”) applies (subject to conditions in the Act).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Compliance with Laws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else in the Plan or the Award Agreement, the Participant will not be entitled to and shall not claim any benefit under the Plan if the provision of such benefit would give rise to a breach of Part 2D.2 of the Corporations Act 2001 (Cth.) (the “Act”), any other provision of the Act, or any other applicable statute, rule or regulation which limits or restricts the giving of such benefits. Further, the Employer is under no obligation to seek or obtain the approval of its shareholders in a general meeting for the purpose of overcoming any such limitation or restriction.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Exchange control reporting is required for cash transactions exceeding AUD10,000 and for international fund transfers. If an Australian bank is assisting with the transaction, the bank will file the report on the Participant’s behalf. If there is no Australian bank involved in the transaction, the Participant will be required to file the report him or herself.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7665"/>
                <wp:effectExtent l="0" t="0" r="0" b="0"/>
                <wp:wrapNone/>
                <wp:docPr id="66" name="Frame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28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28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BAHRAIN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Award Agreement, Plan and all other materials the Participant may receive regarding participation in the Plan do not constitute advertising or the offering of securities in Bahrain, nor do they constitute an allotment of securities in Bahrain. Any shares of Common Stock issued upon settlement of the PRSUs will be deposited into a Corporation-designated brokerage account outside Bahrain. In no event will shares of Common Stock be issued or delivered in Bahrain. The issuance of shares of Common Stock pursuant to the PRSUs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PRSUs or shares of Common Stock in Bahrain, promote these shares of Common Stock to legal entities or individuals in Bahrain, or sell shares of Common Stock directly to other legal entities or individuals in Bahrain. Any disposition or sale of such shares of Common Stock must take place outside Bahrain.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BELGIUM</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Belgian residents are required to report any securities (e.g., shares acquired under the Plan) or bank accounts opened and maintained outside Belgium (e.g., any brokerage account opened in connection with the Plan) on their annual tax returns. Belgian residents are also required to complete a separate report providing the National Bank of Belgium with details regarding any such account, including the account number, the name of the bank in which such account is held and the country in which such account is located. The forms to complete this report are available on the website of the National Bank of Belgium. Belgian residents should consult with their personal tax advisors to determine their personal reporting obligations.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Stock Exchange Tax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 stock exchange tax applies to transactions executed by a Belgian resident through a non-Belgian financial intermediary, such as a U.S. broker. The Stock Exchange Tax likely will apply when the Participant sells shares of Common Stock. The Participant should consult with his or her personal tax advisor for additional details regarding the Participant’s obligations with respect to the Stock Exchange Tax.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Annual Securities Accounts Tax</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cases, the tax will be due on the value of the qualifying securities held in such account. The Participant should consult with his or her personal tax advisor regarding the application of this tax.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BOLIVIA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67665"/>
                <wp:effectExtent l="0" t="0" r="0" b="0"/>
                <wp:wrapNone/>
                <wp:docPr id="67" name="Frame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29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29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BRAZIL</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Compliance with Law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acknowledges that he or she agrees to comply with applicable Brazilian laws and pay any and all applicable Tax-Related Items associated with the vesting of the PRSUs, the conversion of the PRSUs into shares or the receipt of an equivalent cash payment, the receipt of any dividends, and the sale of shares of Common Stock acquired under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agrees that (i) the Participant is making an investment decision; (ii) the shares of Common Stock will be issued to Participant only if the vesting and/or performance conditions are met, and (iii) the value of the underlying shares of Common Stock is not fixed and may increase or decrease in value over the Restricted Period without compensation to the Participant.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the Participant is resident or domiciled in Brazil, he or she will be required to submit annually a declaration of assets and rights held outside of Brazil to the Central Bank of Brazil if the aggregate value of such assets and rights is equal to or greater than US$1,000,000. Assets and rights that must be reported include shares of Common Stock and may include PRSUs.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Tax on Financial Transaction (IOF).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Payments to foreign countries and repatriation of funds into Brazil (including proceeds from the sale) and the conversion of USD into BRL associated with such fund transfers may be subject to the Tax on Financial Transactions. It is the Participant’s responsibility to comply with any applicable Tax on Financial Transactions arising from the Participant’s participation in the Plan. The Participant should consult with his or her personal tax advisor for additional details.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CANADA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is permitted to sell shares acquired through the Plan through the designated broker appointed under the Plan, if any, provided the resale of shares acquired under the Plan takes place outside of Canada through the facilities of a stock exchange on which the shares are listed. The Corporation’s shares are currently listed on the NASDAQ.</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Termination of Employment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provision replaces Section 2(b) of the Award Agreement:</w:t>
      </w:r>
    </w:p>
    <w:p>
      <w:pPr>
        <w:pStyle w:val="TextBody"/>
        <w:bidi w:val="0"/>
        <w:spacing w:lineRule="auto" w:line="288" w:before="0" w:after="240"/>
        <w:jc w:val="left"/>
        <w:rPr/>
      </w:pPr>
      <w:r>
        <w:rPr>
          <w:rFonts w:ascii="Arial;sans-serif" w:hAnsi="Arial;sans-serif"/>
          <w:b w:val="false"/>
          <w:color w:val="000000"/>
          <w:sz w:val="20"/>
          <w:u w:val="single"/>
        </w:rPr>
        <w:t>Termination of Employment</w:t>
      </w:r>
      <w:r>
        <w:rPr>
          <w:rFonts w:ascii="Arial;sans-serif" w:hAnsi="Arial;sans-serif"/>
          <w:b w:val="false"/>
          <w:color w:val="000000"/>
          <w:sz w:val="20"/>
        </w:rPr>
        <w:t>. For purposes of this Award, except as explicitly and minimally required under applicable legislation or in the event of the other exemptions described in the paragraphs below, (i) the Participant's employment will be considered terminated and (ii) the Participant’s right, if any, to earn, seek damages in lieu of, vest in or otherwise benefit from any portion of the PRSUs, the Awards or the Plan will be measured by and immediately terminate, as of the date the Participant is no longer actually providing services to the Corporation or one of its Affiliates (regardless of the reason for such termination and whether or not later found to be invalid or in breach of employment laws in the jurisdiction where the Participant is employed or the terms of the Participant's employment agreement, if any) (the “</w:t>
      </w:r>
      <w:r>
        <w:rPr>
          <w:rFonts w:ascii="Arial;sans-serif" w:hAnsi="Arial;sans-serif"/>
          <w:b/>
          <w:color w:val="000000"/>
          <w:sz w:val="20"/>
        </w:rPr>
        <w:t>Termination Date</w:t>
      </w:r>
      <w:r>
        <w:rPr>
          <w:color w:val="000000"/>
        </w:rPr>
        <w:t>”</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67665"/>
                <wp:effectExtent l="0" t="0" r="0" b="0"/>
                <wp:wrapNone/>
                <wp:docPr id="68" name="Frame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30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30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Except to the extent explicitly and minimally required under applicable legislation, the Termination Date will exclude and will not be extended by any period during which notice, pay in lieu of notice or related payments or damages are provided or required to be provided under statute, contract, common/civil law or otherwise. Subject to the exemptions described in the paragraphs below, the Participant will not earn or be entitled to any pro-rated vesting or other benefits or participation under the Plan for that portion of time before the Termination Date, nor will the Participant be entitled to any compensation for lost vesting or other benefits or participation in the Plan. For clarity, any reference to the termination or cessation of the Participant’s employment, or to a termination date or date of termination, under the Plan or the Award Agreement, will be interpreted to mean the Termination Date as defined above.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Notwithstanding the foregoing, if applicable employment standards legislation explicitly requires continued vesting or other participation in the Plan during a statutory notice period, the Participant’s right to vest in the PRSUs or otherwise participate in or benefit from the Awards or the Plan, if any, will terminate effective upon the expiry of the minimum statutory notice period. For clarity, subject to the exemptions described in the paragraphs below, the Participant will not earn or be entitled to pro-rated vesting or other benefits or participation if the vesting date falls after the end of the statutory notice period, nor will the Participant be entitled to any compensation for lost vesting or other benefits or participation.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described above, the Participant shall forfeit any unvested Award, including any accrued dividend equivalents on the Termination Date; provided, however, that if such termination is (i) due to a Qualified Termination of Employment, or (ii) if more than six months from the Grant Date due to death, Retirement, Total and Permanent Disability, or the shutdown or divestiture of a business unit, Participant shall be entitled to pro-rated or full vesting based on the formulas set out in the Award Agreement or, in the case of a Qualified Termination of Employment, handled consistent with Section 14(b) of the Plan.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Subject to applicable legislation, if the date the Participant ceases providing services cannot be reasonably determined under the terms of the Plan or the Award Agreement, the Committee shall have the exclusive discretion to determine when the Participant is no longer employed for purposes of the Award (including whether the Participant may still be considered employed while on a leave of absence). However, a termination of employment shall not be deemed to have occurred while a Participant is on a military leave or other bona fide leave of absence if the period of such leave does not exceed six months, or if longer, so long as the Participant retains a right to reemployment with the Corporation or an Affiliate under an applicable statute or by contract. For purposes of this sub-section, and subject to applicable legislation, a leave of absence constitutes a bona fide leave of absence only if there is a reasonable expectation that the Participant will return to perform services for the Corporation or an Affiliate. Subject to applicable legislation, if the period of leave exceeds six months and the Participant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is substituted for such six-month period in determining whether a termination of employment shall be deemed to have occurred.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termination of employment with the Corporation or an Affiliate to accept immediate reemployment with the Corporation or an Affiliate likewise shall not be deemed to be a termination of employment for the purposes of the Plan. Subject to applicable legislation, a Participant who is classified as an intermittent employee shall be deemed ineligible to further vest in the PRSUs or otherwise benefit from or participate in the Awards or the Plan as of the date the Participant is classified as an intermittent employee.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For clarity, a termination of employment includes a termination that is deemed an “unfair dismissal” or a “constructive dismissal.” Further, the Participant understands that the Award is a conditional right.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67665"/>
                <wp:effectExtent l="0" t="0" r="0" b="0"/>
                <wp:wrapNone/>
                <wp:docPr id="69" name="Frame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31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31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Participant shall forfeit any unvested Award upon termination of employment except as provided above, for example, regardless of whether (1) the Participant is considered to be unfairly dismissed without good cause; (2) the Participant is dismissed for disciplinary or objective reasons or due to a collective dismissal; (3) the Participant terminates his or her employment or service relationship due to a change of work location, duties or any other employment or contractual condition; or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PRSUs or Awards that were not vested on the Termination Date, as described in the Plan and the Award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Discretionary Nature of Award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replaces Section 13 of the Award Agreement</w:t>
      </w:r>
    </w:p>
    <w:p>
      <w:pPr>
        <w:pStyle w:val="TextBody"/>
        <w:bidi w:val="0"/>
        <w:spacing w:lineRule="auto" w:line="288" w:before="0" w:after="240"/>
        <w:jc w:val="left"/>
        <w:rPr/>
      </w:pPr>
      <w:r>
        <w:rPr>
          <w:rFonts w:ascii="Arial;sans-serif" w:hAnsi="Arial;sans-serif"/>
          <w:b w:val="false"/>
          <w:color w:val="000000"/>
          <w:sz w:val="20"/>
          <w:u w:val="single"/>
        </w:rPr>
        <w:t>Discretionary Nature of Award</w:t>
      </w:r>
      <w:r>
        <w:rPr>
          <w:rFonts w:ascii="Arial;sans-serif" w:hAnsi="Arial;sans-serif"/>
          <w:b w:val="false"/>
          <w:color w:val="000000"/>
          <w:sz w:val="20"/>
        </w:rPr>
        <w:t>. The grant of an Award is a one-time benefit and does not create any contractual or other right to receive a grant of Awards or benefits in lieu of Awards in the future. Future grants, if any, will be at the sole discretion of the Corporation, including, but not limited to, the timing of any grant, the number of PRSUs and vesting provisions. The value of the Award is an extraordinary item outside the scope of the Participant’s employment contract, if any. As such, except as explicitly and minimally required under applicable legislation, the Award is not part of normal or expected compensation for purposes of calculating any severance, resignation, termination, redundancy, dismissal, end of service payments, bonuses, long-service awards, leave-related payments, holiday pay, pension, retirement or welfare benefits or similar payments.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Conditions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provisions replace the second, third, fourth and eighth paragraphs of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Plan is established voluntarily by the Corporation, is discretionary in nature and may be modified, amended, suspended, cancelled or terminated at any time, to the extent permitted by the Plan. The Plan is operated and the PRSUs are granted solely by the Corporation and only the Corporation is a party to this Award Agreement; accordingly, any rights the Participant may have under this Award Agreement may be raised only against the Corporation but not any Affiliates (including, but not limited to, the Employer). Except as explicitly and minimally required under applicable legislation, no Affiliate (including, but not limited to, the Employer) has any obligation to make any payment of any kind to the Participant under this Award Agreement. The grant of an Award is an exceptional, voluntary and occasional benefit and does not create any contractual or other right to receive an Award or benefits in lieu of an Award in the future, even if Awards have been granted in the past. Future grants, if any, will be at the sole discretion of the Corporation, including, but not limited to, the timing of any grant, the number of Awards and vesting provisions.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Participation in the Plan is voluntary and does not create a right to employment with the Participant’s Employer, shall not be interpreted as forming an employment or service contract with the Corporation, and shall not interfere with the ability of the Employer to terminate the Participant’s employment relationship at any time, subject to applicable law. The Participant understands that the Corporation has unilaterally, gratuitously and discretionally decided to grant Awards under the Plan to individuals who are employees of the Corporation or its Affiliates throughout the world. The decision is a limited decision that is entered into upon the express assumption and condition that any grant will not economically or otherwise bind the Corporation or any of its Affiliates on an ongoing basis. Consequently, the Participant understands that any grant is given on the assumption and condition that it shall not become a part of any employment contract (either with the Corporation or any of its Affiliates) and, except as explicitly and minimally required under applicable legislation, shall not be considered a mandatory benefit, salary for any purposes (including severance compensation) or any other right whatsoever. Further,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7665"/>
                <wp:effectExtent l="0" t="0" r="0" b="0"/>
                <wp:wrapNone/>
                <wp:docPr id="70" name="Frame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32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32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be made but for the assumptions and conditions referred to above; thus, the Participant understands, acknowledges and freely accepts that should any or all of the assumptions be mistaken or should any of the conditions not be met for any reason, then the Award shall be null and void.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Except as explicitly and minimally required under applicable legislation, the Award and the shares of Common Stock subject to the Award, and the income from and value of same, are extraordinary items that do not constitute compensation of any kind for services of any kind rendered to the Corporation or, if different, the Employer, and which are outside the scope of the Participant’s employment contract, if any, and are not intended to replace any pension rights or compensation. As such, except as explicitly and minimally required under applicable legislation, the Award, and the income from and value of same, are not part of normal or expected compensation for purposes of calculating any severance, resignation, termination, redundancy, dismissal, end of service payments, bonuses, long-service awards, leave-related payments, holiday pay, pension, retirement or welfare benefits or similar payments and in no event shall be considered as compensation for, or relating in any way to, past services for the Corporation, the Employer or any other Affiliate.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Except as explicitly and minimally required under applicable legislation, no claim or entitlement to compensation or damages shall arise from forfeiture of the Award or recoupment of any shares of Common Stock acquired under the Plan resulting from (a) the termination of the Participant’s employment by the Corporation or the Employer (regardless of the reason for such termination and whether or not the termination is later found to be invalid or in breach of employment laws); and/or (b) an actual breach by the Participant of Section 19, Section 20, any stand-alone restrictive covenant agreement, or any local restrictive covenant agreement; and/or (c) the application of the Corporation’s Recoupment Policy, Recovery Policy, or any recovery or clawback policy required by law.</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Language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 French translation of the Plan and the Award Agreement can be made available to the Participant as soon as reasonably practicable upon the Participant’s request. The Participant understands that, from time to time, additional information related to the offering of the Plan might be provided in English and such information may not be immediately available in French. However, upon request, the Corporation will translate into French documents related to the offering of the Plan as soon as reasonably practicable.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Une traduction française du Plan et de l'Accord d'Attribution être 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Société traduira en français les documents relatifs à l'offre du Plan dès que raisonnablement possible.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Authorization to Release and Transfer Necessary Personal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hereby authorizes the Corporation and the Corporation’s representatives, including the broker(s) designated by the Corporation, to discuss with and obtain all relevant information from all personnel, professional or not, involved in the administration and operation of the Plan. The Participant further authorizes the Corporation, any Affiliate and the plan administrators to disclose and discuss the Plan with their advisors. The Participant further authorizes the Corporation and any Affiliate to record such information and to keep such information in the Participant’s employee file. The Participant acknowledges that the Participant’s personal information, including any sensitive personal information, may be transferred or disclosed outside the Province of Quebec, including to the United States. Finally, the Participant acknowledges that the Corporation, the Employer or any other Affiliate or other parties involved in the administration of the Plan use technology for profiling purposes and to make automated decisions that may have an impact on the Participant or the administration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67665"/>
                <wp:effectExtent l="0" t="0" r="0" b="0"/>
                <wp:wrapNone/>
                <wp:docPr id="71" name="Frame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33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33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Foreign specified property (including shares of Common Stock) held by Canadian residents must be reported annually on Form T1135 (Foreign Income Verification Statement) if the total cost of such foreign specified property exceeds C$100,000 at any time during the year. Foreign specified property includes shares of Common Stock acquired under the Plan and may include the PRSUs. The PRSUs must be reported - generally at a nil cost - if the $100,000 cost threshold is exceeded because of other foreign property the Participant holds. If shares of Common Stock are acquired, their cost generally is the adjusted cost base (“ACB”) of the shares. The ACB would normally equal the Fair Market Value of the shares at vesting, but if the Participant owns other shares, this ACB may have to be averaged with the ACB of the other shares owned by the Participant. If due, the Form must be filed by April 30 of the following year. The Participant should speak with a personal tax advisor to determine the scope of foreign property that must be considered for purposes of this requirement.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CHILE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PRSUs are granted and are made subject to general ruling n° 336 of the Chilean Commission for the Financial Market (“CMF”). This offer refers to securities not registered at the securities registry or at the foreign securities registry of the CMF, and therefore such securities are not subject to its oversight. Given that these securities are not registered in Chile, there is no obligation from the issuer to provide public information on them in Chile. These securities cannot be subject to public offering in Chile while they are not registered at the corresponding securities registry in Chile.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La oferta privada de estos PRSUs se inicia y se acoge a las disposiciones de la norma de carácter general nº 336 de la Comisón para el Mercado Financiero (“CMF”). Esta oferta versa sobre valores no inscritos en el registro de valores o en el registro de valores extranjeros que lleva la CMF, por lo que tales valores no están sujetos a la fiscalización de ésta. Por tratarse de valores no inscritos en Chile, no existe la obligación por parte del emisor de entregar en Chile información pública respecto de los mismos. Estos valores no podrán ser objeto de oferta pública en Chile mientras no sean inscritos en el registro de valores correspondiente.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is not required to repatriate funds obtained from the sale of shares or the receipt of any dividends. However, if the Participant decides to repatriate such funds, the Participant must do so through the Formal Exchange Market if the amount of the funds exceeds US$10,000. In such case, the Participant must report the payment to a commercial bank or registered foreign exchange office receiving the funds.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 xml:space="preserve">The Chilean Internal Revenue Service (the “CIRS”) requires all taxpayers to provide information annually regarding (i) the results of investments held abroad and (ii) any taxes paid abroad which the taxpayers will use as a credit against Chilean income tax. The sworn statements disclosing this information (or Formularios) must be submitted electronically through the CIRS website, </w:t>
      </w:r>
      <w:r>
        <w:rPr>
          <w:rFonts w:ascii="Arial;sans-serif" w:hAnsi="Arial;sans-serif"/>
          <w:b w:val="false"/>
          <w:color w:val="0E32E1"/>
          <w:sz w:val="20"/>
        </w:rPr>
        <w:t>www.sii.cl</w:t>
      </w:r>
      <w:r>
        <w:rPr>
          <w:rFonts w:ascii="Arial;sans-serif" w:hAnsi="Arial;sans-serif"/>
          <w:b w:val="false"/>
          <w:color w:val="000000"/>
          <w:sz w:val="20"/>
        </w:rPr>
        <w:t>, using Form 1929, which is due on July 1 each year.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CHINA</w:t>
      </w:r>
    </w:p>
    <w:p>
      <w:pPr>
        <w:pStyle w:val="TextBody"/>
        <w:bidi w:val="0"/>
        <w:spacing w:lineRule="auto" w:line="288" w:before="0" w:after="240"/>
        <w:jc w:val="left"/>
        <w:rPr/>
      </w:pPr>
      <w:r>
        <w:rPr>
          <w:rFonts w:ascii="Arial;sans-serif" w:hAnsi="Arial;sans-serif"/>
          <w:b w:val="false"/>
          <w:color w:val="000000"/>
          <w:sz w:val="20"/>
          <w:u w:val="single"/>
        </w:rPr>
        <w:t>The following provisions apply only to Participants who are subject to exchange control restrictions imposed by the State Administration of Foreign Exchange ("SAFE"), as determined by the Corporation in its sole discretion</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7665"/>
                <wp:effectExtent l="0" t="0" r="0" b="0"/>
                <wp:wrapNone/>
                <wp:docPr id="72" name="Frame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34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34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Vesting of Awards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Participant's Employer, Corporation any other Affiliate to which the Participant provides service must be registered with SAFE prior to settlement of the PRSUs. If the Corporation is unable to obtain registration approval or is required to obtain further approvals on behalf of the Employer, Corporation or any other Affiliate, the vesting or settlement of the PRSUs may be suspended or delayed. Further, the Corporation is under no obligation to vest the PRSUs and/or issue shares of Common Stock if the Corporation’s SAFE approval becomes invalid or ceases to be in effect by the time the Participant vests in the PRSUs.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Shutdown or Divestiture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replaces Section 2(d)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event that, more than six months after the Grant Date, the Participant’s termination of employment is due to the shutdown or divestiture of the Corporation’s or its Affiliate’s business, it shall result in pro-rata vesting, as determined by the Committee, and the number of shares that are considered to vest shall be determined based on the Target Level of Awards (including any accrued dividend equivalents accumulated pursuant to Section 2(a)) and by prorating the number of full years of employment during the Restricted Period prior to the Participant's termination of employment, and shall be paid within 70 days following the Participant's termination of employment. Any fractional share of the Corporation resulting from such a prorated Award shall be rounded to the nearest whole share. For the purposes of this Award, a shutdown or divestiture of the Corporation’s or its Affiliate’s business unit is defined as one for which the charges related to the shutdown or divestiture are accounted for, and reported externally, as an exit activity in the Corporation's applicable SEC filings. The Corporation has complete discretion to determine whether a shutdown or divestiture of a business unit has occurred under the terms of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Termination of Employment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Except for a termination of employment due to Retirement or the shutdown or divestiture of a business unit, as described above, and notwithstanding any other provision in the Award Agreement, the Participant shall forfeit any unvested Award, including any accrued dividend equivalents, upon any termination of employment including, but not limited to, any termination that is due to a Qualified Termination of Employment, death, Retirement or Total and Permanent Disability.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event that, more than six months after the Grant Date, the Participant’s termination of employment is due to Retirement, then provided that, in the sole discretion of the Corporation, (i) no circumstances exist that could lead to a determination that the Participant should be, or could have been, terminated for Cause; and (ii) an Accounting Restatement (as defined in the Recovery Policy, as applicable) has not occurred and/or the Participant has not engaged in conduct that would trigger the Committee’s right of recoupment under the Corporation's Recoupment Policy (as defined in Section 21 of this Award Agreement), it shall result in 100% vesting and the number of shares that are considered to vest shall be determined based on the Target Level of Awards (including any accrued dividend equivalents accumulated pursuant to Section 2(a)). Any PRSUs vested pursuant to this paragraph shall be paid within 70 days following the Participant's termination of employment.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acknowledges and agrees that he or she must sell any shares of Common Stock issued to him or her upon vesting of the Awards as soon as practicable following the Participant's termination of employment for any reason and in no event later than three months following the Participant's termination of employment. The Participant agrees that if he or she continues to hold any of such shares of Common Stock after this time, the shares of Common Stock may be sold by the Corporation’s designated broker on the Participant's behalf at the instruction of the Corporation. Therefore, by accepting the Awards, the Participant understands and agrees that the Corporation is authorized to, and may in its sole discretion, instruct its designated broker to assist with the mandatory sale of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7665"/>
                <wp:effectExtent l="0" t="0" r="0" b="0"/>
                <wp:wrapNone/>
                <wp:docPr id="73"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35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35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Common Stock (on the Participant’s behalf pursuant to this authorization) and that the Participant expressly authorizes the Corporation’s designated broker to complete the sale of such shares of Common Stock. The Participant acknowledges that the Corporation’s designated broker is under no obligation to arrange for the sale of the shares of Common Stock at any particular price. Upon the sale of the shares of Common Stock, the proceeds, less any Tax-Related Items and brokerage fees or commissions will be remitted to the Participant pursuant to the procedures described in the “Exchange Control Information” section below.</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Shares of Common Stock issued to the Participant under the Plan must be maintained in an account with Merrill Lynch or such other broker as may be designated by the Corporation until the shares of Common Stock are sold through that broker. If the Corporation changes its broker, the Participant acknowledges and agrees that the Corporation may transfer any shares of Common Stock issued under the Plan to the new designated broker if necessary for legal or administrative reasons. The Participant agrees to sign any documentation necessary to facilitate the transfer. In addition, the Participant may be required to sell any shares of Common Stock obtained under the Plan if the Corporation determines that the application of such condition is necessary or advisable for China SAFE exchange control, legal or other administrative reasons.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understands and agrees that, to facilitate compliance with exchange control requirements, the Participant will be required to immediately repatriate to China the cash proceeds from the sale of shares of Common Stock acquired upon vesting of the Awards or from any dividends or dividend equivalents paid on the shares of Common Stock. The Participant further understands that, under local law, such repatriation of the cash proceeds will be effectuated through a special exchange control account established by the Corporation or one of its Affiliates in China, and the Participant hereby consents and agrees that the cash proceeds related to the Participant's participation in the Plan may be transferred to such special account prior to being delivered to the Participant. The Corporation may deliver the proceeds to the Participant in U.S. dollars or local currency at the Corporation's discretion. If the proceeds are paid in U.S. dollars, the Participant understands that he or she will be required to set up a U.S. dollar bank account in China so that the proceeds may be deposited into this account. If the proceeds are converted to local currency, there may be delays in delivering the proceeds to the Participant. The Participant agrees to bear the risk of any currency fluctuation between the time the shares of Common Stock are sold, either through voluntary sale or through a mandatory sale arranged by the Corporation, or proceeds are otherwise realized under the Plan and the time such proceeds are distributed to the Participant through the special exchange control account.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further agrees to comply with any other requirements that may be imposed by the Corporation in the future to facilitate compliance with exchange control requirements in China.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COLOMBIA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shares of Common Stock are not and will not be registered in the Colombian registry of publicly traded securities (Registro Nacional de Valores y Emisores)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2555,2010. In the event that the Corporation, in its sole discretion, determines that the offer of the Awards in Colombia may constitute a “public offer of securities”, the Participant understands and agrees that the Corporation may, in its sole discretion, cease to offer participation in the Plan in Colombia. In the event that the Corporation exercises its discretion to cease offering the Plan in Colombia, the Participant will no longer be permitted to participate in the Plan as of the date established by the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74"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36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36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i/>
          <w:color w:val="000000"/>
          <w:sz w:val="20"/>
        </w:rPr>
        <w:t>Exchange Control Information</w:t>
      </w:r>
      <w:r>
        <w:rPr>
          <w:color w:val="000000"/>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Colombian residents must register shares of Common Stock acquired under the Plan, regardless of value, with the Central Bank of Colombia (Banco de la República) as foreign investment held abroad. In addition, the liquidation of such investments must be transferred through the Colombian foreign exchange market (e.g., local banks), which includes the obligation of correctly completing and filing the appropriate foreign exchange form (declaración de cambio). The Participant is responsible for complying with applicable exchange control requirements in Colombia.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must file an informative return with the Colombian Tax Office detailing any assets held abroad. If the individual value of any of these assets exceeds a certain threshold, the Participant must describe each asset and indicate the jurisdiction in which it is located, its nature and its value.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Conditions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supplements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acknowledges that pursuant to Article 128 of the Colombian Labor Code, the Plan and related benefits do not constitute a component of the Participant's “salary” for any legal purpose. To this extent, they will not be included for purposes of calculating any labor benefits, such as legal/fringe benefits, vacation, indemnities, payroll taxes, social insurance contributions and/or any other labor-related amount which may be payable.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COSTA RICA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CZECH REPUBLIC</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Czech National Bank may require the Participant to fulfill certain notification duties in relation to the acquisition of shares of Common Stock and the opening and maintenance of a foreign account (e.g., may be required to report foreign direct investment, financial credits from abroad, investment in foreign securities, and associated collections and payments). However, because exchange control regulations change frequently and without notice, the Participant should consult with his or her personal legal advisor prior to the vesting of the PRSUs and the sale of Common Stock to ensure compliance with current regulations. It is the Participant’s responsibility to comply with any applicable Czech exchange control laws.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DOMINICAN REPUBLIC</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ECUADOR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75"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37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37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following year using the electronic form on the tax authorities’ website (www.sri.gob.ec). Penalties will apply to a late filing and it is not possible to seek an extension.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Ecuadorian resident individuals are required to report on an annual basis, all monetary assets held in foreign financial entities in excess of US$100,000. The Participant should consult their legal or tax advisor to ensure compliance with all applicable reporting obligations.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EL SALVADOR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FRANCE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PRSUs Not Tax-Qualified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Participant understands that this Award is not intended to be French tax-qualified.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Consent to Receive Information in English</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By accepting the Award Agreement providing for the terms and conditions of the Participant’s grant, the Participant confirms having read and understood the documents relating to this grant (the Plan and this Award Agreement) which were provided in English language. The Participant accepts the terms of those documents accordingly.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En acceptant le Contrat d'Attribution décrivant les termes et conditions de l’attribution, le participant confirme ainsi avoir lu et compris les documents relatifs à cette attribution (le Plan U.S. et ce Contrat d'Attribution) qui ont été communiqués en langue anglaise. Le participant accepte les termes en connaissance de cause.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French residents holding shares of Common Stock outside of France or maintaining a foreign bank account are required to report such to the French tax authorities when filing their annual tax returns, including any accounts that were opened, held, used and/or closed during the year. Further, failure to comply could trigger significant penalties.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GERMANY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pPr>
      <w:r>
        <w:rPr>
          <w:rFonts w:ascii="Arial;sans-serif" w:hAnsi="Arial;sans-serif"/>
          <w:b w:val="false"/>
          <w:color w:val="0000FF"/>
          <w:sz w:val="20"/>
          <w:u w:val="single"/>
        </w:rPr>
        <w:t>Cross-border payments in excess of €50,000 must be reported monthly to the German Federal Bank (</w:t>
      </w:r>
      <w:r>
        <w:rPr>
          <w:rFonts w:ascii="Arial;sans-serif" w:hAnsi="Arial;sans-serif"/>
          <w:b w:val="false"/>
          <w:i/>
          <w:color w:val="0000FF"/>
          <w:sz w:val="20"/>
          <w:u w:val="single"/>
        </w:rPr>
        <w:t>Bundesbank</w:t>
      </w:r>
      <w:r>
        <w:rPr>
          <w:rFonts w:ascii="Arial;sans-serif" w:hAnsi="Arial;sans-serif"/>
          <w:b w:val="false"/>
          <w:color w:val="0000FF"/>
          <w:sz w:val="20"/>
          <w:u w:val="single"/>
        </w:rPr>
        <w:t xml:space="preserve">). </w:t>
      </w:r>
      <w:r>
        <w:rPr>
          <w:rFonts w:ascii="Arial;sans-serif" w:hAnsi="Arial;sans-serif"/>
          <w:b w:val="false"/>
          <w:color w:val="000000"/>
          <w:sz w:val="20"/>
        </w:rPr>
        <w:t>If the Participant makes or receives a payment in excess of this amount (including if the Participant acquires shares of Common Stock with a value in excess of this amount or sells shares of Common Stock via a foreign broker, bank or service provider and receives proceeds in excess of this amount and/or if the Corporation withholds or sells shares of Common Stock with a value in excess of this amount to cover Tax-Related Items), the Participant must report the payment and/or the value of the shares of Common Stock withheld or sold to Bundesbank electronically using the “General Statistics Reporting Portal” (“</w:t>
      </w:r>
      <w:r>
        <w:rPr>
          <w:rFonts w:ascii="Arial;sans-serif" w:hAnsi="Arial;sans-serif"/>
          <w:b w:val="false"/>
          <w:i/>
          <w:color w:val="000000"/>
          <w:sz w:val="20"/>
        </w:rPr>
        <w:t>Allgemeine Meldeportal Statistik</w:t>
      </w:r>
      <w:r>
        <w:rPr>
          <w:color w:val="000000"/>
        </w:rPr>
        <w:t>”</w:t>
      </w:r>
      <w:r>
        <w:rPr>
          <w:rFonts w:ascii="Arial;sans-serif" w:hAnsi="Arial;sans-serif"/>
          <w:b w:val="false"/>
          <w:color w:val="000000"/>
          <w:sz w:val="20"/>
        </w:rPr>
        <w:t xml:space="preserve">) available on the </w:t>
      </w:r>
      <w:r>
        <w:rPr>
          <w:rFonts w:ascii="Arial;sans-serif" w:hAnsi="Arial;sans-serif"/>
          <w:b w:val="false"/>
          <w:i/>
          <w:color w:val="000000"/>
          <w:sz w:val="20"/>
        </w:rPr>
        <w:t>Bundesbank’s</w:t>
      </w:r>
      <w:r>
        <w:rPr>
          <w:color w:val="000000"/>
        </w:rPr>
        <w:t xml:space="preserve"> </w:t>
      </w:r>
      <w:r>
        <w:rPr>
          <w:rFonts w:ascii="Arial;sans-serif" w:hAnsi="Arial;sans-serif"/>
          <w:b w:val="false"/>
          <w:color w:val="000000"/>
          <w:sz w:val="20"/>
        </w:rPr>
        <w:t>website (</w:t>
      </w:r>
      <w:r>
        <w:rPr>
          <w:rFonts w:ascii="Arial;sans-serif" w:hAnsi="Arial;sans-serif"/>
          <w:b w:val="false"/>
          <w:color w:val="0E32E1"/>
          <w:sz w:val="20"/>
        </w:rPr>
        <w:t>www.bundesbank.de</w:t>
      </w:r>
      <w:r>
        <w:rPr>
          <w:rFonts w:ascii="Arial;sans-serif" w:hAnsi="Arial;sans-serif"/>
          <w:b w:val="false"/>
          <w:color w:val="000000"/>
          <w:sz w:val="20"/>
        </w:rPr>
        <w:t xml:space="preserve">) or via such other method (e.g., by email or telephone) as is permitted or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76"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38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38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 xml:space="preserve">by Bundesbank. The report must be submitted monthly or within such other timing as is permitted or required by </w:t>
      </w:r>
      <w:r>
        <w:rPr>
          <w:rFonts w:ascii="Arial;sans-serif" w:hAnsi="Arial;sans-serif"/>
          <w:b w:val="false"/>
          <w:i/>
          <w:color w:val="000000"/>
          <w:sz w:val="20"/>
        </w:rPr>
        <w:t>Bundesbank.</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Participant’s acquisition of shares of Common Stock leads to a so-called qualified participation at any point during the calendar year, the Participant will need to report the acquisition when he or she files a tax return for the relevant year. A qualified participation occurs only if (i) the Participant owns 1% or more of the Corporation and the value of the shares of Common Stock exceeds €150,000 or (ii) the Participant holds shares of Common Stock exceeding 10% of the Corporation’s total Common Stock.</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GUATEMALA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Language Waiver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participating in the Plan, the Participant acknowledges that he or she is proficient in reading and understanding English and fully understands the terms of the Plan, or, alternatively, that the Participant will seek appropriate assistance to understand the terms and conditions in the Award Agreement and this Appendix 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HONDURAS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HONG KONG</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Warning</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The offer of this Award and the shares of Common Stock subject to this Award do not constitute a public offering of securities under Hong Kong law and are available only to employees of the Corporation or its Affiliates participating in the Plan. The Participant should be aware that the Plan, the Plan prospectus and the contents of this Award Agreement (i) have not been prepared in accordance with and are not intended to constitute a “prospectus” for a public offering of securities under the applicable securities legislation in Hong Kong, (ii) have not been reviewed by any regulatory authority in Hong Kong, and (iii) are intended only for the personal use of each Participant and may not be distributed to any other person. The Participant is advised to exercise caution in relation to the offer. If the Participant is in any doubt about any of the contents of the Award Agreement, including this Appendix A, or the Plan, the Participant should obtain independent professional advice.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 Payable Only in Shares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Awards granted to Participants in Hong Kong shall be paid in shares of Common Stock only and do not provide any right for the Participant to receive a cash payment.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Sale of Shares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event the Award vests within six months of the Grant Date, the Participant agrees that he or she will not offer to the public or otherwise dispose of the shares acquired prior to the six-month anniversary of the Grant Date. Any shares of Common Stock acquired under the Plan are accepted as a personal investment.</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7665"/>
                <wp:effectExtent l="0" t="0" r="0" b="0"/>
                <wp:wrapNone/>
                <wp:docPr id="77"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39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39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INDIA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India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ISRAEL</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offer of this Award does not constitute a public offering under Securities Law, 1968.</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Broker Designation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Shares of Common Stock issued to the Participant under the Plan must be maintained in an account with Merrill Lynch or such other broker as may be designated by the Corporation until the shares of Common Stock are sold through that broker.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Restricted from Online Brokerage Transactions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acknowledges and agrees that he or she will be restricted from online brokerage account transactions the Corporation’s designated broker. Therefore, by accepting the Awards, the Participant understands and agrees that the Participant will call the Corporation’s designated broker to initiate any sale or transfer of any shares of Common Stock issued to him or her upon vesting of the Awards. The Participant acknowledges that the Corporation’s designated broker is under no obligation to arrange for the sale of the shares of Common Stock at any particular price.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ITALY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Plan Document Acknowledgment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accepting the grant of this Award, the Participant acknowledges that he or she has received a copy of the Plan and the Award Agreement and has reviewed the Plan and the Award Agreement, including this Appendix A, in their entirety and fully understands and accepts all provisions of the Plan and the Award Agreement, including this Appendix A.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that he or she has read and specifically and expressly approves the following sections of the Award Agreement: Section 2(g) on Payment of Tax-Related Items; Section 5 on No Right of Continued Employment; Section 8 on Governing Law and Consent to Jurisdiction; the section on Acknowledgment of Conditions; and the Data Privacy Notice section included in this Appendix 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7665"/>
                <wp:effectExtent l="0" t="0" r="0" b="0"/>
                <wp:wrapNone/>
                <wp:docPr id="78" name="Frame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40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40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residents who are the beneficial owners of foreign financial assets under Italian money laundering provisions.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 Tax Information</w:t>
      </w:r>
    </w:p>
    <w:p>
      <w:pPr>
        <w:pStyle w:val="TextBody"/>
        <w:bidi w:val="0"/>
        <w:spacing w:lineRule="auto" w:line="288" w:before="0" w:after="240"/>
        <w:jc w:val="left"/>
        <w:rPr/>
      </w:pPr>
      <w:r>
        <w:rPr>
          <w:rFonts w:ascii="Arial;sans-serif" w:hAnsi="Arial;sans-serif"/>
          <w:b w:val="false"/>
          <w:color w:val="000000"/>
          <w:sz w:val="20"/>
        </w:rPr>
        <w:t>The value of financial assets held outside of Italy (including shares of Common Stock) by Italian residents is subject to a foreign asset tax. The taxable amount will be the fair market value of the financial assets (</w:t>
      </w:r>
      <w:r>
        <w:rPr>
          <w:rFonts w:ascii="Arial;sans-serif" w:hAnsi="Arial;sans-serif"/>
          <w:b w:val="false"/>
          <w:i/>
          <w:color w:val="000000"/>
          <w:sz w:val="20"/>
        </w:rPr>
        <w:t>e.g.</w:t>
      </w:r>
      <w:r>
        <w:rPr>
          <w:rFonts w:ascii="Arial;sans-serif" w:hAnsi="Arial;sans-serif"/>
          <w:b w:val="false"/>
          <w:color w:val="000000"/>
          <w:sz w:val="20"/>
        </w:rPr>
        <w:t>, shares of Common Stock acquired under the Plan) assessed at the end of the calendar year.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KAZAKHSTAN</w:t>
      </w:r>
    </w:p>
    <w:p>
      <w:pPr>
        <w:pStyle w:val="TextBody"/>
        <w:bidi w:val="0"/>
        <w:spacing w:lineRule="auto" w:line="288" w:before="0" w:after="240"/>
        <w:jc w:val="left"/>
        <w:rPr/>
      </w:pPr>
      <w:r>
        <w:rPr>
          <w:rFonts w:ascii="Arial;sans-serif" w:hAnsi="Arial;sans-serif"/>
          <w:b w:val="false"/>
          <w:i/>
          <w:color w:val="000000"/>
          <w:sz w:val="20"/>
        </w:rPr>
        <w:t>Securities Law Notification</w:t>
      </w:r>
      <w:r>
        <w:rPr>
          <w:color w:val="000000"/>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offer is addressed only to certain eligible employees in the form of the shares of Common Stock to be issued by the Corporation. Neither the Plan nor the Award Agreement has been approved, nor do they need to be approved, by the National Bank of Kazakhstan. This offer is intended only for the original recipient and is not for general circulation in the Republic of Kazakhstan.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Residents of Kazakhstan may be required to notify the National Bank of Kazakhstan when they acquire shares of Common Stock under the Plan if the value of such shares of Common Stock exceeds US$100,000.</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Please note that the exchange control regulations in Kazakhstan are subject to change. The Participant should consult with his or her personal legal advisor regarding any exchange control obligations that the Participant may have prior to vesting or receiving proceeds from the sale of shares of Common Stock acquired under the Plan. The Participant is responsible for ensuring compliance with all exchange control laws in Kazakhstan.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KENYA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Registration Notification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Under Tax Procedure Act, 2015, the Participant is required to complete and submit a tax registration application to the Commissioner of Income Tax with 30 days of first vesting of the PRSUs. The registration should be completed through the online portal “I TAX” and is a one-time only registration. The Participant is solely responsible for ensuring compliance with all registration requirements in Kenya.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KOREA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Notwithstanding anything in the Award Agreement, Awards granted to Participants in Korea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7665"/>
                <wp:effectExtent l="0" t="0" r="0" b="0"/>
                <wp:wrapNone/>
                <wp:docPr id="79" name="Frame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41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41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MALAYSIA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Director Notification Obligation </w:t>
      </w:r>
    </w:p>
    <w:p>
      <w:pPr>
        <w:pStyle w:val="TextBody"/>
        <w:bidi w:val="0"/>
        <w:spacing w:lineRule="auto" w:line="288" w:before="0" w:after="240"/>
        <w:jc w:val="left"/>
        <w:rPr/>
      </w:pPr>
      <w:r>
        <w:rPr>
          <w:rFonts w:ascii="Arial;sans-serif" w:hAnsi="Arial;sans-serif"/>
          <w:b w:val="false"/>
          <w:color w:val="000000"/>
          <w:sz w:val="20"/>
        </w:rPr>
        <w:t>If the Participant is a director of the Corporation’s Malaysian Affiliate, the Participant is subject to certain notification requirements under the Malaysian Companies Act. Among these requirements is an obligation to notify the Malaysian Affiliate in writing when the Participant receives or disposes of an interest (</w:t>
      </w:r>
      <w:r>
        <w:rPr>
          <w:rFonts w:ascii="Arial;sans-serif" w:hAnsi="Arial;sans-serif"/>
          <w:b w:val="false"/>
          <w:i/>
          <w:color w:val="000000"/>
          <w:sz w:val="20"/>
        </w:rPr>
        <w:t>e.g.</w:t>
      </w:r>
      <w:r>
        <w:rPr>
          <w:rFonts w:ascii="Arial;sans-serif" w:hAnsi="Arial;sans-serif"/>
          <w:b w:val="false"/>
          <w:color w:val="000000"/>
          <w:sz w:val="20"/>
        </w:rPr>
        <w:t>, an Award or shares) in the Corporation or any related company. Such notifications must be made within 14 days of receiving or disposing of any interest in the Corporation or any related company.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MEXICO</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Modification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understands and agrees that any modification of the Plan or the Award Agreement or its termination shall not constitute a change or impairment of the terms and conditions of employment.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the Grant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accepting the Award, the Participant acknowledges that the Participant has received a copy of the Plan and the Award Agreement, including this Appendix A, has reviewed the Plan and the Award Agreement, including this Appendix A, in their entirety and fully understands and accepts all provisions of the Plan and the Award Agreement, including this Appendix A. The Participant further acknowledges that the Participant has read and specifically and expressly approves the Acknowledgment of Conditions section of the Award Agreement, in which the following is clearly described and established:</w:t>
      </w:r>
    </w:p>
    <w:p>
      <w:pPr>
        <w:pStyle w:val="TextBody"/>
        <w:bidi w:val="0"/>
        <w:spacing w:lineRule="auto" w:line="288" w:before="240" w:after="283"/>
        <w:ind w:left="0" w:right="0" w:hanging="540"/>
        <w:jc w:val="left"/>
        <w:rPr>
          <w:rFonts w:ascii="Arial;sans-serif" w:hAnsi="Arial;sans-serif"/>
          <w:b w:val="false"/>
          <w:color w:val="000000"/>
          <w:sz w:val="20"/>
        </w:rPr>
      </w:pPr>
      <w:r>
        <w:rPr>
          <w:rFonts w:ascii="Arial;sans-serif" w:hAnsi="Arial;sans-serif"/>
          <w:b w:val="false"/>
          <w:color w:val="000000"/>
          <w:sz w:val="20"/>
        </w:rPr>
        <w:t xml:space="preserve">(1)    The Participant’s participation in the Plan does not constitute an acquired right. </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 xml:space="preserve">(2)    The Plan and the Participant’s participation in the Plan are offered by the Corporation on a wholly discretionary basis. </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 xml:space="preserve">(3)    The Participant’s participation in the Plan is voluntary. </w:t>
      </w:r>
    </w:p>
    <w:p>
      <w:pPr>
        <w:pStyle w:val="TextBody"/>
        <w:bidi w:val="0"/>
        <w:spacing w:lineRule="auto" w:line="288" w:before="120" w:after="240"/>
        <w:ind w:left="0" w:right="0" w:hanging="540"/>
        <w:jc w:val="left"/>
        <w:rPr>
          <w:rFonts w:ascii="Arial;sans-serif" w:hAnsi="Arial;sans-serif"/>
          <w:b w:val="false"/>
          <w:color w:val="000000"/>
          <w:sz w:val="20"/>
        </w:rPr>
      </w:pPr>
      <w:r>
        <w:rPr>
          <w:rFonts w:ascii="Arial;sans-serif" w:hAnsi="Arial;sans-serif"/>
          <w:b w:val="false"/>
          <w:color w:val="000000"/>
          <w:sz w:val="20"/>
        </w:rPr>
        <w:t>(4)    Neither the Corporation nor any Affiliates are responsible for any decrease in the value of the Award granted and/or shares of Common Stock issued under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Acknowledgment and Policy Statement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accepting the grant of this Award, the Participant expressly recognizes that Kimberly-Clark Corporation, with registered offices at 351 Phelps Drive, Irving, Texas 75038, U.S.A., is solely responsible for the administration of the Plan and that the Participant’s participation in the Plan and acquisition of shares of Common Stock do not constitute an employment relationship between the Participant and the Corporation since the Participant is participating in the Plan on a wholly commercial basis and his or her sole Employer is K-C AFC Manufacturing S. de R.L. de C.V. (“KCC-Mexico”). Based on the foregoing, the Participant expressly recognizes that the Plan and the benefits that he or she may derive from participating in the Plan do not establish any rights between the Participant and the Employer, KCC-Mexico and do not form part of the employment conditions and/or benefits provided by KCC-Mexico, and any modification of the Plan or its termination shall not constitute a change or impairment of the terms and conditions of the Participant’s employment.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further understands that his or her participation in the Plan is as a result of a unilateral and discretionary decision of the Corporation; therefore, Kimberly-Clark Corporation reserves the absolute right to amend and/or discontinue the Participant’s participation at any time without any liability to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7665"/>
                <wp:effectExtent l="0" t="0" r="0" b="0"/>
                <wp:wrapNone/>
                <wp:docPr id="80" name="Frame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42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42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Finally, the Participant hereby declares that he or she does not reserve to him- or herself any action or right to bring any claim against Kimberly-Clark Corporation for any compensation or damages regarding any provision of the Plan or the benefits derived under the Plan, and the Participant therefore grants a full and broad release to the Corporation, its Affiliates, branches, representation offices, its shareholders, officers, agents, or legal representatives with respect to any claim that may arise.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Spanish Translation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Modificación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 aceptar el Premio, el Participante entiende y acuerda que cualquier modificación al Plan o al Acuerdo o su terminación, no cambiará o disminuirá los términos y condiciones de empleo.</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Reconocimiento del Otorgamiento</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 aceptar el Premio, el Participante está de acuerdo en haber recibido una copia del Plan, del Acuerdo incluyendo el presente Anexo “A” y ha revisado el Plan y el Acuerdo, incluyendo este Anexo “A” en su totalidad y comprende y acepta todas las disposiciones previstas en el Plan, en el Acuerdo, incluyendo el presente Anexo “A”. Asimismo, el Participante reconoce que ha leído y manifiesta su específica y expresa conformidad con los términos y condiciones establecidos del Acuerdo, en el cual claramente se describe y establece lo siguiente:</w:t>
      </w:r>
    </w:p>
    <w:p>
      <w:pPr>
        <w:pStyle w:val="TextBody"/>
        <w:bidi w:val="0"/>
        <w:spacing w:lineRule="auto" w:line="288" w:before="0" w:after="0"/>
        <w:ind w:left="0" w:right="0" w:hanging="720"/>
        <w:jc w:val="left"/>
        <w:rPr>
          <w:rFonts w:ascii="Arial;sans-serif" w:hAnsi="Arial;sans-serif"/>
          <w:b w:val="false"/>
          <w:i/>
          <w:color w:val="000000"/>
          <w:sz w:val="20"/>
        </w:rPr>
      </w:pPr>
      <w:r>
        <w:rPr>
          <w:rFonts w:ascii="Arial;sans-serif" w:hAnsi="Arial;sans-serif"/>
          <w:b w:val="false"/>
          <w:i/>
          <w:color w:val="000000"/>
          <w:sz w:val="20"/>
        </w:rPr>
        <w:t xml:space="preserve">(1)    La participación del Participante en el Plan no constituye un derecho adquirido. </w:t>
      </w:r>
    </w:p>
    <w:p>
      <w:pPr>
        <w:pStyle w:val="TextBody"/>
        <w:bidi w:val="0"/>
        <w:spacing w:lineRule="auto" w:line="288" w:before="120" w:after="283"/>
        <w:ind w:left="0" w:right="0" w:hanging="720"/>
        <w:jc w:val="left"/>
        <w:rPr>
          <w:rFonts w:ascii="Arial;sans-serif" w:hAnsi="Arial;sans-serif"/>
          <w:b w:val="false"/>
          <w:i/>
          <w:color w:val="000000"/>
          <w:sz w:val="20"/>
        </w:rPr>
      </w:pPr>
      <w:r>
        <w:rPr>
          <w:rFonts w:ascii="Arial;sans-serif" w:hAnsi="Arial;sans-serif"/>
          <w:b w:val="false"/>
          <w:i/>
          <w:color w:val="000000"/>
          <w:sz w:val="20"/>
        </w:rPr>
        <w:t xml:space="preserve">(2)    El Plan y la participación del Participante en el Plan se ofrecen por la Compañía de forma completamente discrecional. </w:t>
      </w:r>
    </w:p>
    <w:p>
      <w:pPr>
        <w:pStyle w:val="TextBody"/>
        <w:bidi w:val="0"/>
        <w:spacing w:lineRule="auto" w:line="288" w:before="120" w:after="283"/>
        <w:ind w:left="0" w:right="0" w:hanging="720"/>
        <w:jc w:val="left"/>
        <w:rPr>
          <w:rFonts w:ascii="Arial;sans-serif" w:hAnsi="Arial;sans-serif"/>
          <w:b w:val="false"/>
          <w:i/>
          <w:color w:val="000000"/>
          <w:sz w:val="20"/>
        </w:rPr>
      </w:pPr>
      <w:r>
        <w:rPr>
          <w:rFonts w:ascii="Arial;sans-serif" w:hAnsi="Arial;sans-serif"/>
          <w:b w:val="false"/>
          <w:i/>
          <w:color w:val="000000"/>
          <w:sz w:val="20"/>
        </w:rPr>
        <w:t xml:space="preserve">(3)    La participación del Participante en el Plan es voluntaria. </w:t>
      </w:r>
    </w:p>
    <w:p>
      <w:pPr>
        <w:pStyle w:val="TextBody"/>
        <w:bidi w:val="0"/>
        <w:spacing w:lineRule="auto" w:line="288" w:before="120" w:after="240"/>
        <w:ind w:left="0" w:right="0" w:hanging="720"/>
        <w:jc w:val="left"/>
        <w:rPr>
          <w:rFonts w:ascii="Arial;sans-serif" w:hAnsi="Arial;sans-serif"/>
          <w:b w:val="false"/>
          <w:i/>
          <w:color w:val="000000"/>
          <w:sz w:val="20"/>
        </w:rPr>
      </w:pPr>
      <w:r>
        <w:rPr>
          <w:rFonts w:ascii="Arial;sans-serif" w:hAnsi="Arial;sans-serif"/>
          <w:b w:val="false"/>
          <w:i/>
          <w:color w:val="000000"/>
          <w:sz w:val="20"/>
        </w:rPr>
        <w:t>(4)    Ni la Compañía ni sus Afiliadas son responsables por la reducción del valor del Premio y/o Acciones Ordinarias emitidas bajo el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Reconocimiento de la Legislación Laboral y Declaración de la Política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 aceptar el otorgamiento de este Premio, el Participante expresamente reconoce que Kimberly-Clark Corporation con oficinas registradas en 351 Phelps Drive, Irving, Texas 75038, U.S.A., es la única responsable por la administración del Plan y que la participación del Participante en el Plan y en su caso la adquisición de las Opciones de Compra de Acciones o Acciones no constituyen ni podrán interpretarse como una relación de trabajo entre el Participante y Kimberly-Clark Corporation, ya que el Participante participa en el Plan en un marco totalmente comercial y su único Patrón lo es K-C AFC Manufacturing S. de R.L. de C.V. (“KCC-Mexico”). Derivado de lo anterior, el Participante expresamente reconoce que el Plan y los beneficios que pudieran derivar de la participación en el Plan no establecen derecho alguno entre el Participante y el Patrón, KCC-Mexico y no forma parte de las condiciones de trabajo y/o las prestaciones otorgadas por KCC-Mexico y que cualquier modificación al Plan o su terminación no constituye un cambio o impedimento de los términos y condiciones de la relación de trabajo del Participante.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Asimismo, el Participante reconoce que su participación en el Plan es resultado de una decisión unilateral y discrecional de Kimberly-Clark Corporation por lo tanto, Kimberly-Clark Corporation se reserva el absoluto derecho de modificar y/o terminar la participación del Participante en cualquier momento y sin responsabilidad alguna frente el Participante.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Finalmente, el Participante por este medio declara que no se reserva derecho o acción alguna que ejercitar en contra de Kimberly-Clark Corporation por cualquier compensación o daño en relación con las disposiciones del Plan o de los beneficios derivados del Plan y por lo tanto, el Participante otorga el más amplio finiquito que en derecho proceda a Kimberly-Clark Corporation , sus afiliadas, subsidiarias,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7665"/>
                <wp:effectExtent l="0" t="0" r="0" b="0"/>
                <wp:wrapNone/>
                <wp:docPr id="81" name="Frame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43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43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oficinas de representación, sus accionistas, funcionarios, agentes o representantes legales en relación con cualquier demanda que pudiera surgir.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Notification</w:t>
      </w:r>
    </w:p>
    <w:p>
      <w:pPr>
        <w:pStyle w:val="TextBody"/>
        <w:bidi w:val="0"/>
        <w:spacing w:lineRule="auto" w:line="288" w:before="0" w:after="240"/>
        <w:jc w:val="left"/>
        <w:rPr/>
      </w:pPr>
      <w:r>
        <w:rPr>
          <w:rFonts w:ascii="Arial;sans-serif" w:hAnsi="Arial;sans-serif"/>
          <w:b w:val="false"/>
          <w:color w:val="000000"/>
          <w:sz w:val="20"/>
        </w:rPr>
        <w:t>The PRSUs and the shares of Common Stock offered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PRSUs may not be publicly distributed in Mexico. These materials are addressed to the Participant only because of their existing relationship with the Corporation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Mexican subsidiary of the Corporation made in accordance with the provisions of the Mexican Securities Market Law, and any rights under such offering shall not be assigned or transferred</w:t>
      </w:r>
      <w:r>
        <w:rPr>
          <w:rFonts w:ascii="Arial;sans-serif" w:hAnsi="Arial;sans-serif"/>
          <w:b w:val="false"/>
          <w:i/>
          <w:color w:val="000000"/>
          <w:sz w:val="20"/>
        </w:rPr>
        <w:t>.</w:t>
      </w:r>
      <w:r>
        <w:rPr>
          <w:color w:val="000000"/>
        </w:rPr>
        <w:t xml:space="preserv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NETHERLANDS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NEW ZEALAND</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Participant is being offered PRSUs which, if vested, will entitle the Participant to acquire shares of Common Stock in accordance with the terms of the Award Agreement and the Plan. The shares of Common Stock, if issued, will give the Participant a stake in the ownership of the Corporation. The Participant may receive a return if dividends are paid.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the Corporation runs into financial difficulties and is wound up, the Participant will be paid only after all creditors and holders of preferred shares (if any) have been paid. The Participant may lose some or all of the Participant’s investment, if any.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the Participant may not be given all the information usually required. The Participant will also have fewer other legal protections for this investment. The Participant is advised to ask questions, read all documents carefully, and seek independent financial advice before committing.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shares of Common Stock are quoted on the National Association of Securities Dealers Automated Quotations (“NASDAQ”). This means that if the Participant acquires shares of Common Stock under the Plan, the Participant may be able to sell the shares of Common Stock on the NASDAQ if there are interested buyers. The Participant may get less than the Participant invested. The price will depend on the demand for the shares of Common Stock.</w:t>
      </w:r>
    </w:p>
    <w:p>
      <w:pPr>
        <w:pStyle w:val="TextBody"/>
        <w:bidi w:val="0"/>
        <w:spacing w:lineRule="auto" w:line="288" w:before="0" w:after="240"/>
        <w:jc w:val="left"/>
        <w:rPr/>
      </w:pPr>
      <w:r>
        <w:rPr>
          <w:rFonts w:ascii="Arial;sans-serif" w:hAnsi="Arial;sans-serif"/>
          <w:b w:val="false"/>
          <w:color w:val="000000"/>
          <w:sz w:val="20"/>
        </w:rPr>
        <w:t xml:space="preserve">For a copy of the Corporation’s most recent financial statements (and, where applicable, a copy of the auditor’s report on those financial statements), as well as information on risk factors impacting the Corporation’s business that may affect the value of the shares pf Common Stock, the Participant should refer to the risk factors discussion on the Corporation’s Annual Report on Form 10-K and Quarterly Reports on Form 10-Q, which are filed with the U.S. Securities and Exchange Commission and are available online at </w:t>
      </w:r>
      <w:r>
        <w:rPr>
          <w:rFonts w:ascii="Arial;sans-serif" w:hAnsi="Arial;sans-serif"/>
          <w:b w:val="false"/>
          <w:color w:val="0E32E1"/>
          <w:sz w:val="20"/>
        </w:rPr>
        <w:t>www.sec.gov</w:t>
      </w:r>
      <w:r>
        <w:rPr>
          <w:rFonts w:ascii="Arial;sans-serif" w:hAnsi="Arial;sans-serif"/>
          <w:b w:val="false"/>
          <w:color w:val="000000"/>
          <w:sz w:val="20"/>
        </w:rPr>
        <w:t xml:space="preserve">, as well as on the Corporation’s “Investor Relations” website at </w:t>
      </w:r>
      <w:r>
        <w:rPr>
          <w:rFonts w:ascii="Arial;sans-serif" w:hAnsi="Arial;sans-serif"/>
          <w:b w:val="false"/>
          <w:color w:val="0E32E1"/>
          <w:sz w:val="20"/>
        </w:rPr>
        <w:t>https://investor.kimberly-clark.com.</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NIGERIA</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7665"/>
                <wp:effectExtent l="0" t="0" r="0" b="0"/>
                <wp:wrapNone/>
                <wp:docPr id="82" name="Frame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44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44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PANAMA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Securities Law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Neither this Award nor any shares of Common Stock that the Participant may acquire at vesting of this Award constitute a public offering of securities, as they are available only to eligible employees of the Corporation and its Affiliates.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PARAGUAY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PERU</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pPr>
      <w:r>
        <w:rPr>
          <w:rFonts w:ascii="Arial;sans-serif" w:hAnsi="Arial;sans-serif"/>
          <w:b w:val="false"/>
          <w:color w:val="000000"/>
          <w:sz w:val="20"/>
        </w:rPr>
        <w:t xml:space="preserve">The offer of this Award is considered a private offering in Peru; therefore, it is not subject to registration in Peru. For more information concerning the offer, please refer to the Plan, the Award Agreement and any other materials or documentation made available by the Corporation. For more information regarding the Corporation, please refer to the Corporation’s Annual Report on Form 10-K and Quarterly Reports on Form 10-Q, which are filed with the U.S. Securities and Exchange Commission and are available at </w:t>
      </w:r>
      <w:r>
        <w:rPr>
          <w:rFonts w:ascii="Arial;sans-serif" w:hAnsi="Arial;sans-serif"/>
          <w:b w:val="false"/>
          <w:color w:val="0E32E1"/>
          <w:sz w:val="20"/>
        </w:rPr>
        <w:t>www.sec.gov</w:t>
      </w:r>
      <w:r>
        <w:rPr>
          <w:rFonts w:ascii="Arial;sans-serif" w:hAnsi="Arial;sans-serif"/>
          <w:b w:val="false"/>
          <w:color w:val="000000"/>
          <w:sz w:val="20"/>
        </w:rPr>
        <w:t xml:space="preserve">, as well as the Corporation’s “Investor Relations” website at: </w:t>
      </w:r>
      <w:r>
        <w:rPr>
          <w:rFonts w:ascii="Arial;sans-serif" w:hAnsi="Arial;sans-serif"/>
          <w:b w:val="false"/>
          <w:color w:val="0E32E1"/>
          <w:sz w:val="20"/>
        </w:rPr>
        <w:t>https://investor.kimberly-clark.com.</w:t>
      </w:r>
      <w:r>
        <w:rPr>
          <w:color w:val="000000"/>
        </w:rPr>
        <w:t xml:space="preserv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pPr>
      <w:r>
        <w:rPr>
          <w:rFonts w:ascii="Arial;sans-serif" w:hAnsi="Arial;sans-serif"/>
          <w:b w:val="false"/>
          <w:color w:val="000000"/>
          <w:sz w:val="20"/>
        </w:rPr>
        <w:t xml:space="preserve">By accepting the Award, the Participant acknowledges that the PRSUs are being granted </w:t>
      </w:r>
      <w:r>
        <w:rPr>
          <w:rFonts w:ascii="Arial;sans-serif" w:hAnsi="Arial;sans-serif"/>
          <w:b w:val="false"/>
          <w:i/>
          <w:color w:val="000000"/>
          <w:sz w:val="20"/>
        </w:rPr>
        <w:t>ex gratia</w:t>
      </w:r>
      <w:r>
        <w:rPr>
          <w:color w:val="000000"/>
        </w:rPr>
        <w:t xml:space="preserve"> </w:t>
      </w:r>
      <w:r>
        <w:rPr>
          <w:rFonts w:ascii="Arial;sans-serif" w:hAnsi="Arial;sans-serif"/>
          <w:b w:val="false"/>
          <w:color w:val="000000"/>
          <w:sz w:val="20"/>
        </w:rPr>
        <w:t xml:space="preserve">to the Participant.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PHILIPPINES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the Philippines do not provide any right for the Participant to receive shares of Common Stock and shall be paid only in cash in an amount equal to the value of the shares of Common Stock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Fringe Benefit Tax Obligation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consents and agrees to assume any and all liability for fringe benefit tax that may be payable by the Corporation and/or the Employer (as determined by the Corporation or the Employer in their discretion) in connection with the Award and any awards previously granted by the Corporation. Further, by accepting the Award, the Participant agrees that the Corporation and/or the Employer may collect the fringe benefit tax from the Participant by any of the means set forth in the Acknowledgment of Conditions section of the Award Agreement, or any other reasonable method established by the Corporation. The Participant agrees to execute other consents or elections to accomplish the foregoing, promptly upon request by the Corporation or the Employer.</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67665"/>
                <wp:effectExtent l="0" t="0" r="0" b="0"/>
                <wp:wrapNone/>
                <wp:docPr id="83" name="Frame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45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45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POLAND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Polish residents holding foreign securities (e.g., shares of Common Stock) and/or maintaining accounts abroad must report information to the National Bank of Poland on transactions and balances regarding such securities and cash deposited in such accounts if the value of such securities and cash (when combined with all other assets possessed abroad) exceeds certain thresholds. If required, the reports must be filed on a quarterly basis on special forms that are available on the website of the National Bank of Poland. Polish residents should consult with their personal tax advisor to determine their personal reporting obligations.</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Transfers of funds into and out of Poland in excess of €15,000 (or PLN 15,000 if such transfer of funds is connected with business activity of an entrepreneur) must be made via a bank account held at a bank in Poland. Additionally, Polish residents are required to store all documents connected with any foreign exchange transactions that Polish residents are engaged in for a period of five years, as measured from the end of the year in which such transaction occurred.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PUERTO RICO</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RUSSIA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pPr>
      <w:r>
        <w:rPr>
          <w:rFonts w:ascii="Arial;sans-serif" w:hAnsi="Arial;sans-serif"/>
          <w:b w:val="false"/>
          <w:color w:val="000000"/>
          <w:sz w:val="20"/>
        </w:rPr>
        <w:t xml:space="preserve">Notwithstanding anything in the Award Agreement, Awards granted to Participants in Russia do not provide any right for the Participant to receive shares of Common Stock and shall be paid only in cash through local payroll in an amount equal to the value of the shares of Common Stock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 </w:t>
      </w:r>
      <w:r>
        <w:rPr>
          <w:rFonts w:ascii="Arial;sans-serif" w:hAnsi="Arial;sans-serif"/>
          <w:b/>
          <w:color w:val="000000"/>
          <w:sz w:val="20"/>
        </w:rPr>
        <w:t>SAUDI ARABIA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Securities Law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This document may not be distributed in the Kingdom except to such persons as are permitted under the Rules on the Offer of Securities and Continuing Obligations issued by the Capital Market Authority.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the Participant should consult an authorized financial adviser.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SINGAPORE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Sale Restriction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agrees that any shares of Common Stock acquired pursuant to the PRSUs will not be offered for sale in Singapore prior to the six-month anniversary of the Grant Date, unless such sale or offer is made pursuant to the exemptions under Part XIII Division (1) Subdivision (4) (other than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7665"/>
                <wp:effectExtent l="0" t="0" r="0" b="0"/>
                <wp:wrapNone/>
                <wp:docPr id="84" name="Frame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46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46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280) of the Securities and Futures Act (Chapter 289, 2006 Ed.) (“SFA”), or pursuant to, and in accordance with the conditions of, any other applicable provisions of the SFA.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grant of the PRSUs is being made pursuant to the “Qualifying Person” exemption” under section 273(1)(f) of the SFA under which it is exempt from the prospectus and registration requirements and is not made with a view to the underlying shares of Common Stock being subsequently offered for sale to any other party. The Plan has not been and will not be lodged or registered as a prospectus with the Monetary Authority of Singapore.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Director Notification Obligation</w:t>
      </w:r>
    </w:p>
    <w:p>
      <w:pPr>
        <w:pStyle w:val="TextBody"/>
        <w:bidi w:val="0"/>
        <w:spacing w:lineRule="auto" w:line="288" w:before="0" w:after="240"/>
        <w:jc w:val="left"/>
        <w:rPr/>
      </w:pPr>
      <w:r>
        <w:rPr>
          <w:rFonts w:ascii="Arial;sans-serif" w:hAnsi="Arial;sans-serif"/>
          <w:b w:val="false"/>
          <w:color w:val="000000"/>
          <w:sz w:val="20"/>
        </w:rPr>
        <w:t>If the Participant is a director, associate director or shadow director of the Corporation’s Singapore Affiliate, the Participant is subject to certain notification requirements under the Singapore Companies Act (Cap. 50, Rev Ed 2006). Among these requirements is an obligation to notify the Corporation’s Singapore Affiliate in writing when the Participant receives an interest (</w:t>
      </w:r>
      <w:r>
        <w:rPr>
          <w:rFonts w:ascii="Arial;sans-serif" w:hAnsi="Arial;sans-serif"/>
          <w:b w:val="false"/>
          <w:i/>
          <w:color w:val="000000"/>
          <w:sz w:val="20"/>
        </w:rPr>
        <w:t>e.g.</w:t>
      </w:r>
      <w:r>
        <w:rPr>
          <w:rFonts w:ascii="Arial;sans-serif" w:hAnsi="Arial;sans-serif"/>
          <w:b w:val="false"/>
          <w:color w:val="000000"/>
          <w:sz w:val="20"/>
        </w:rPr>
        <w:t>, an Award or shares) in the Corporation or any Affiliate. In addition, the Participant must notify the Corporation’s Singapore Affiliate when he or she sells shares of the Corporation or of any Affiliate (including when the Participant sells shares issued upon vesting and settlement of the Award). These notifications must be made within two business</w:t>
      </w:r>
      <w:r>
        <w:rPr>
          <w:color w:val="000000"/>
          <w:u w:val="single"/>
        </w:rPr>
        <w:t xml:space="preserve"> </w:t>
      </w:r>
      <w:r>
        <w:rPr>
          <w:rFonts w:ascii="Arial;sans-serif" w:hAnsi="Arial;sans-serif"/>
          <w:b w:val="false"/>
          <w:color w:val="000000"/>
          <w:sz w:val="20"/>
        </w:rPr>
        <w:t>days of (i) acquiring or disposing of any interest in the Corporation or any Affiliate, or (ii) any change in a previously-disclosed interest (</w:t>
      </w:r>
      <w:r>
        <w:rPr>
          <w:rFonts w:ascii="Arial;sans-serif" w:hAnsi="Arial;sans-serif"/>
          <w:b w:val="false"/>
          <w:i/>
          <w:color w:val="000000"/>
          <w:sz w:val="20"/>
        </w:rPr>
        <w:t>e.g.</w:t>
      </w:r>
      <w:r>
        <w:rPr>
          <w:rFonts w:ascii="Arial;sans-serif" w:hAnsi="Arial;sans-serif"/>
          <w:b w:val="false"/>
          <w:color w:val="000000"/>
          <w:sz w:val="20"/>
        </w:rPr>
        <w:t>, upon vesting of the Award or when shares of Common Stock acquired under the Plan are subsequently sold). In addition, a notification of the Participant’s interests in the Corporation or any Affiliate must be made within two business days of becoming a director, associate director or shadow director.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SLOVAK REPUBLIC</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 xml:space="preserve">If the Participant permanently resides in the Slovak Republic and, apart from being employed, carries on business activities as an independent entrepreneur (in Slovakian, </w:t>
      </w:r>
      <w:r>
        <w:rPr>
          <w:rFonts w:ascii="Arial;sans-serif" w:hAnsi="Arial;sans-serif"/>
          <w:b w:val="false"/>
          <w:i/>
          <w:color w:val="000000"/>
          <w:sz w:val="20"/>
        </w:rPr>
        <w:t>podnikatel</w:t>
      </w:r>
      <w:r>
        <w:rPr>
          <w:rFonts w:ascii="Arial;sans-serif" w:hAnsi="Arial;sans-serif"/>
          <w:b w:val="false"/>
          <w:color w:val="000000"/>
          <w:sz w:val="20"/>
        </w:rPr>
        <w:t>), the Participant will be obligated to report his or her foreign assets (including any foreign securities) to the National Bank of Slovakia (provided that the value of the foreign assets exceeds an amount of €2,000,000). These reports must be submitted on a monthly basis by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the respective calendar month, as well as on a quarterly basis by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day of the calendar month following the respective calendar quarter, using notification form DEV (NBS) 1-12, which may be found at the National Bank of Slovakia’s website at </w:t>
      </w:r>
      <w:r>
        <w:rPr>
          <w:rFonts w:ascii="Arial;sans-serif" w:hAnsi="Arial;sans-serif"/>
          <w:b w:val="false"/>
          <w:color w:val="0E32E1"/>
          <w:sz w:val="20"/>
        </w:rPr>
        <w:t>www.nbs.sk</w:t>
      </w:r>
      <w:r>
        <w:rPr>
          <w:rFonts w:ascii="Arial;sans-serif" w:hAnsi="Arial;sans-serif"/>
          <w:b w:val="false"/>
          <w:color w:val="000000"/>
          <w:sz w:val="20"/>
        </w:rPr>
        <w:t xml:space="preserv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SOUTH AFRICA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agrees to notify the Employer of the amount of any gain realized upon vesting of the Award. If the Participant fails to advise the Employer of the gain realized upon vesting, the Participant may be liable for a fine. The Participant will be responsible for paying any difference between the actual tax liability and the amount withheld.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participate in the Plan, the Participant must comply with exchange control regulations and rulings (the “Exchange Control Regulations”) in South Africa.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Because the Exchange Control Regulations change frequently and without notice, the Participant understands that he or she should consult a legal advisor prior to the acquisition or sale of shares under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7665"/>
                <wp:effectExtent l="0" t="0" r="0" b="0"/>
                <wp:wrapNone/>
                <wp:docPr id="85" name="Frame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47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47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Plan to ensure compliance with current regulations. The Participant understands that it is his or her responsibility to comply with South African exchange control laws, and neither the Corporation nor the Employer will be liable for any fines or penalties resulting from failure to comply with applicable laws.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compliance with South African securities law, the Participant acknowledges that the documents listed below are available for review at the addresses listed below:</w:t>
      </w:r>
    </w:p>
    <w:p>
      <w:pPr>
        <w:pStyle w:val="TextBody"/>
        <w:bidi w:val="0"/>
        <w:spacing w:lineRule="auto" w:line="288" w:before="0" w:after="0"/>
        <w:ind w:left="0" w:right="0" w:hanging="360"/>
        <w:jc w:val="left"/>
        <w:rPr/>
      </w:pPr>
      <w:r>
        <w:rPr>
          <w:rFonts w:ascii="Arial;sans-serif" w:hAnsi="Arial;sans-serif"/>
          <w:b w:val="false"/>
          <w:color w:val="000000"/>
          <w:sz w:val="20"/>
        </w:rPr>
        <w:t xml:space="preserve">a)The Corporation's most recent annual financial statements: </w:t>
      </w:r>
      <w:r>
        <w:rPr>
          <w:rFonts w:ascii="Arial;sans-serif" w:hAnsi="Arial;sans-serif"/>
          <w:b w:val="false"/>
          <w:color w:val="0E32E1"/>
          <w:sz w:val="20"/>
        </w:rPr>
        <w:t>https://investor.kimberly-clark.com.</w:t>
      </w:r>
    </w:p>
    <w:p>
      <w:pPr>
        <w:pStyle w:val="TextBody"/>
        <w:bidi w:val="0"/>
        <w:spacing w:before="0" w:after="0"/>
        <w:jc w:val="left"/>
        <w:rPr/>
      </w:pPr>
      <w:r>
        <w:rPr/>
      </w:r>
    </w:p>
    <w:p>
      <w:pPr>
        <w:pStyle w:val="TextBody"/>
        <w:bidi w:val="0"/>
        <w:spacing w:lineRule="auto" w:line="288" w:before="0" w:after="240"/>
        <w:ind w:left="0" w:right="0" w:hanging="360"/>
        <w:jc w:val="left"/>
        <w:rPr/>
      </w:pPr>
      <w:r>
        <w:rPr>
          <w:rFonts w:ascii="Arial;sans-serif" w:hAnsi="Arial;sans-serif"/>
          <w:b w:val="false"/>
          <w:color w:val="000000"/>
          <w:sz w:val="20"/>
        </w:rPr>
        <w:t xml:space="preserve">b)The Corporation's most recent Plan prospectus may be accessed online through Merrill Lynch, or such other stock plan service provider as may be selected by the Corporation in the future, at </w:t>
      </w:r>
      <w:r>
        <w:rPr>
          <w:rFonts w:ascii="Arial;sans-serif" w:hAnsi="Arial;sans-serif"/>
          <w:b w:val="false"/>
          <w:color w:val="0E32E1"/>
          <w:sz w:val="20"/>
        </w:rPr>
        <w:t>www.mybenefits.ml.com</w:t>
      </w:r>
      <w:r>
        <w:rPr>
          <w:color w:val="000000"/>
        </w:rPr>
        <w:t xml:space="preserve"> </w:t>
      </w:r>
      <w:r>
        <w:rPr>
          <w:rFonts w:ascii="Arial;sans-serif" w:hAnsi="Arial;sans-serif"/>
          <w:b w:val="false"/>
          <w:color w:val="000000"/>
          <w:sz w:val="20"/>
        </w:rPr>
        <w:t xml:space="preserve">in the Document Library.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copy of the above documents will be sent free of charge upon written request to Stock Plan Administrator, P.O. Box 619100, Dallas, Texas 75261-9100. In addition, the Participant should contact his or her tax advisor for specific information concerning his or her personal tax situation with regard to Plan participation.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SPAIN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pPr>
      <w:r>
        <w:rPr>
          <w:rFonts w:ascii="Arial;sans-serif" w:hAnsi="Arial;sans-serif"/>
          <w:b w:val="false"/>
          <w:color w:val="000000"/>
          <w:sz w:val="20"/>
        </w:rPr>
        <w:t xml:space="preserve">No “offer of securities to the public,” as defined under Spanish law, has taken place or will take place in the Spanish territory in connection with the grant of this Award. The Award Agreement (including this Appendix A) has not been, nor will it be, registered with the </w:t>
      </w:r>
      <w:r>
        <w:rPr>
          <w:rFonts w:ascii="Arial;sans-serif" w:hAnsi="Arial;sans-serif"/>
          <w:b w:val="false"/>
          <w:i/>
          <w:color w:val="000000"/>
          <w:sz w:val="20"/>
        </w:rPr>
        <w:t>Comisión Nacional del Mercado de Valores</w:t>
      </w:r>
      <w:r>
        <w:rPr>
          <w:rFonts w:ascii="Arial;sans-serif" w:hAnsi="Arial;sans-serif"/>
          <w:b w:val="false"/>
          <w:color w:val="000000"/>
          <w:sz w:val="20"/>
        </w:rPr>
        <w:t>, and does not constitute a public offering prospectus.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acknowledges that he or she understands and agrees to participation in the Plan and that he or she has received a copy of the Plan.</w:t>
      </w:r>
    </w:p>
    <w:p>
      <w:pPr>
        <w:pStyle w:val="TextBody"/>
        <w:bidi w:val="0"/>
        <w:spacing w:lineRule="auto" w:line="288" w:before="0" w:after="240"/>
        <w:jc w:val="left"/>
        <w:rPr/>
      </w:pPr>
      <w:r>
        <w:rPr>
          <w:rFonts w:ascii="Arial;sans-serif" w:hAnsi="Arial;sans-serif"/>
          <w:b w:val="false"/>
          <w:color w:val="000000"/>
          <w:sz w:val="20"/>
        </w:rPr>
        <w:t>The Participant understands that the Corporation has unilaterally, gratuitously and discretionally decided to grant Awards under the Plan to individuals who may be employees of the Corporation or its Affiliates throughout the world. The decision is a limited decision that is entered into upon the express assumption and condition that (i) any grant will not economically or otherwise bind the Corporation or any of its Affiliates other than as expressly set forth in the Award Agreement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 xml:space="preserve">the PRSUs are not to be considered an acquired right or more beneficial condition to be repeated in the future); (ii) the PRSUs and the shares of Common Stock acquired under the Plan are not part of any employment or service contract (either with the Corporation or any of its Affiliates) and shall not be considered a mandatory benefit, salary for any purposes (including severance compensation) or any other right whatsoever; and (iii) the PRSUs will cease vesting upon the Participant’s termination of employment. Further, the 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be made but for the assumptions and conditions referred to above; thus, the Participant understands, acknowledges and freely accepts that should any or all of the assumptions be mistaken or should any of the conditions not be met for any reason, then the Award shall be null and void.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Further, the Participant understands that the Award is a conditional right. Participant shall forfeit any unvested Award upon termination of employment unless such termination is (i) due to a Qualified Termination of Employment, or (ii) if more than six months after the Grant Date, due to death, Total and Permanent Disability, or the shutdown or divestiture of a business unit. Vesting will cease, for example,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7665"/>
                <wp:effectExtent l="0" t="0" r="0" b="0"/>
                <wp:wrapNone/>
                <wp:docPr id="86" name="Frame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48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48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regardless of whether (1) the Participant is considered to be unfairly dismissed without good cause (i.e., subject to a “despido improcedente”); (2) the Participant is dismissed for disciplinary or objective reasons or due to a collective dismissal; (3) the Participant terminates his or her employment or service relationship due to a change of work location, duties or any other employment or contractual condition; and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PRSUs that were not vested on the date of termination of the Participant’s employment or service relationship, as described in the Plan and the Award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Corporation) depending on the value of such accounts and instruments and the amount of the transactions during the relevant year as of December 31 of the relevant year.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If the Participant holds rights or assets (</w:t>
      </w:r>
      <w:r>
        <w:rPr>
          <w:rFonts w:ascii="Arial;sans-serif" w:hAnsi="Arial;sans-serif"/>
          <w:b w:val="false"/>
          <w:i/>
          <w:color w:val="000000"/>
          <w:sz w:val="20"/>
        </w:rPr>
        <w:t>e.g.</w:t>
      </w:r>
      <w:r>
        <w:rPr>
          <w:rFonts w:ascii="Arial;sans-serif" w:hAnsi="Arial;sans-serif"/>
          <w:b w:val="false"/>
          <w:color w:val="000000"/>
          <w:sz w:val="20"/>
        </w:rPr>
        <w:t>, shares of Common Stock or cash held in a bank or brokerage account) outside of Spain with a value in excess of €50,000 per type of right or asset (</w:t>
      </w:r>
      <w:r>
        <w:rPr>
          <w:rFonts w:ascii="Arial;sans-serif" w:hAnsi="Arial;sans-serif"/>
          <w:b w:val="false"/>
          <w:i/>
          <w:color w:val="000000"/>
          <w:sz w:val="20"/>
        </w:rPr>
        <w:t>e.g.</w:t>
      </w:r>
      <w:r>
        <w:rPr>
          <w:rFonts w:ascii="Arial;sans-serif" w:hAnsi="Arial;sans-serif"/>
          <w:b w:val="false"/>
          <w:color w:val="000000"/>
          <w:sz w:val="20"/>
        </w:rPr>
        <w:t>, shares of Common Stock, cash, etc.) as of December 31 each year, 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or if the ownership of the assets is transferred or relinquished during the year. The reporting must be completed by the following March 31.</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SWITZERLAND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Neither this document nor any other materials relating to the Awards (i) constitutes a prospectus according to articles 35 et seq. of the Swiss Federal Act on Financial Services (“FinSA”) (ii) may be publicly distributed or otherwise made publicly available in Switzerland to any person other than a participant or (iii) has been or will be filed with, approved or supervised by any Swiss reviewing body according to article 51 FinSA or any Swiss regulatory authority, including the Swiss Financial Market Supervisory Authority (“FINMA”).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TAIWAN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Data Privacy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supplements the data privacy section in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acknowledges that he or she has read and understands the terms regarding collection, processing and transfer of data contained in the Acknowledgment of Conditions section of the Award Agreement and, by participating in the Plan the Participant agrees to such terms. In this regard, upon request of the Corporation or the Employer, the Participant agrees to provide any executed data privacy consent form to the Employer or the Corporation (or any other agreements or consents that may be required by the Employer or the Corporation) that the Corporation and/or the Employer may deem necessary to obtain under the data privacy laws now or in the future. The Participant understands that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7665"/>
                <wp:effectExtent l="0" t="0" r="0" b="0"/>
                <wp:wrapNone/>
                <wp:docPr id="87" name="Frame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49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49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he or she will not be able to participate in the Plan if the Participant fails to execute any such consent or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offer of participation in the Plan is available only for employees of the Corporation and its Affiliates. The offer of participation in the Plan is not a public offer of securities by a Taiwanese company.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Taiwanese residents may acquire and remit foreign currency (including proceeds from the sale of shares of Common Stock or the receipt of dividends) into and out of Taiwan up to US$10,000,000 per year. If the transaction amount is TWD500,000 or more in a single transaction, the Participant must submit a foreign exchange transaction form and also provide supporting documentation to the satisfaction of the remitting bank.</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THAILAND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Participant receives proceeds from the sale of shares of Common Stock or cash dividends in relation to the shares of Common Stock in excess of US$1,000,000 in a single transaction, the Participant must immediately repatriate all the funds to Thailand (or utilize such funds offshore for permissible purposes) and convert the funds to Thai Baht within 360 days of repatriation or deposit the funds in an authorized foreign exchange account in Thailand. The Participant is also required to provide details of the transaction (i.e., identification information and purpose of the transaction) to the receiving bank.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should consult their personal advisor prior to taking any action with respect to remittance of proceeds from the sale of shares of Common Stock into Thailand. The Participant is responsible for ensuring compliance with all exchange control laws in Thailand.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TURKEY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Turkish residents are not permitted to sell shares of Common Stock acquired under the Plan in Turkey. Turkish residents must sell the shares of Common Stock acquired under the Plan outside of Turkey. The Shares are currently traded on the NASDAQ in the U.S. under the ticker symbol “KMB” and shares of Common Stock may be sold on this exchange.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pPr>
      <w:r>
        <w:rPr>
          <w:rFonts w:ascii="Arial;sans-serif" w:hAnsi="Arial;sans-serif"/>
          <w:b w:val="false"/>
          <w:color w:val="000000"/>
          <w:sz w:val="20"/>
        </w:rPr>
        <w:t xml:space="preserve">Under Turkish law, Turkish residents are permitted to purchase and sell securities or derivatives traded on exchanges abroad only through a financial intermediary licensed in Turkey. Therefore, the Participant may be required to appoint a Turkish broker to assist him or her with the sale of the shares of Common Stock acquired under the Plan. </w:t>
      </w:r>
      <w:r>
        <w:rPr>
          <w:rFonts w:ascii="Arial;sans-serif" w:hAnsi="Arial;sans-serif"/>
          <w:b w:val="false"/>
          <w:i/>
          <w:color w:val="000000"/>
          <w:sz w:val="20"/>
        </w:rPr>
        <w:t>The Participant should consult his or her personal legal advisor before selling any shares of Common Stock acquired under the Plan to confirm the applicability of this requirement to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7665"/>
                <wp:effectExtent l="0" t="0" r="0" b="0"/>
                <wp:wrapNone/>
                <wp:docPr id="88" name="Frame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50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50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UKRAINE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Ukraine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Participant through local payroll.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UNITED ARAB EMIRATES</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offer of the Award is available only for select employees of the Corporation and its Affiliates and is in the nature of providing employee incentives in the United Arab Emirates. The Plan and the Award Agreement are intended for distribution only to such employees and must not be delivered to, or relied on, by any other person. Prospective purchasers of securities should conduct their own due diligence.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Emirates Securities and Commodities Authority has no responsibility for reviewing or verifying any documents in connection with this statement, including the Plan and the Award Agreement, or any other incidental communication materials distributed in connection with the Award. Further, neither the Ministry of Economy nor the Dubai Department of Economic Development has approved this statement nor taken steps to verify the information set out in it, and has no responsibility for it. Residents of the United Arab Emirates who have any questions regarding the contents of the Plan and the Award Agreement should obtain independent professional advice.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UNITED KINGDOM</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information supplements the information regarding Tax-Related Items in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Without limitation to the information regarding Tax-Related Items in the Award Agreement, the Participant agrees that he or she is liable for all Tax-Related Items and hereby covenants to pay all such Tax-Related Items, as and when requested by the Corporation or, if different, the Employer or by HM Revenue &amp; Customs (“HMRC”) (or any other tax authority or any other relevant authority). The Participant agrees to indemnify and keep indemnified the Corporation and/or the Employer for all Tax-Related Items that they are required to pay, or withhold or have paid or will pay to HMRC on the Participant’s behalf (or any other tax authority or any other relevant authority) and authorizes the Corporation and/or the Employer to recover such amounts by any of the means referred to in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Notwithstanding the foregoing, if the Participant is an executive officer or director (as within the meaning of Section 13(k) of the U.S. Securities and Exchange Act of 1934, as amended), the Participant understands that he or she may not be able to indemnify the Corporation for the amount of any Tax-Related Items not collected from or paid by the Participant, if the indemnification could be considered to be a loan. In this case, the Tax-Related Items not collected or paid may constitute a benefit to the Participant on which additional income tax and National Insurance contributions (“NICs”) may be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7665"/>
                <wp:effectExtent l="0" t="0" r="0" b="0"/>
                <wp:wrapNone/>
                <wp:docPr id="89" name="Frame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51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51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acknowledges that the Participant ultimately will be responsible for reporting and paying any income tax due on this additional benefit directly to HMRC under the self-assessment regime and for paying to the Corporation or the Employer (as appropriate) the amount of any NICs due on this additional benefit which the Corporation and/or the Employer may also recover from the Participant at any time thereafter by any of the means referred to in the Acknowledgment of Conditions section of the Award Agreement.</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UNITED STATES</w:t>
      </w:r>
    </w:p>
    <w:tbl>
      <w:tblPr>
        <w:tblW w:w="10205" w:type="dxa"/>
        <w:jc w:val="left"/>
        <w:tblInd w:w="0" w:type="dxa"/>
        <w:tblLayout w:type="fixed"/>
        <w:tblCellMar>
          <w:top w:w="28" w:type="dxa"/>
          <w:left w:w="28" w:type="dxa"/>
          <w:bottom w:w="28" w:type="dxa"/>
          <w:right w:w="28" w:type="dxa"/>
        </w:tblCellMar>
      </w:tblPr>
      <w:tblGrid>
        <w:gridCol w:w="349"/>
        <w:gridCol w:w="307"/>
        <w:gridCol w:w="309"/>
        <w:gridCol w:w="2745"/>
        <w:gridCol w:w="2682"/>
        <w:gridCol w:w="3813"/>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9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shd w:fill="FFFFFF"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FFFFF" w:val="clear"/>
              </w:rPr>
              <w:t>Agreement prevents the Participant from discussing or disclosing information about unlawful acts in the workplace, such as harassment or discrimination or any other conduct that the Participant has reason to believe is unlawful.</w:t>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Colorado</w:t>
            </w:r>
          </w:p>
        </w:tc>
        <w:tc>
          <w:tcPr>
            <w:tcW w:w="9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Nothing in this Award Agreement limits the Participant’s ability to disclose or discuss, either orally or in writing, any alleged discriminatory or unfair employment practice. This Award Agreement does not prohibit disclosure of information that arises from the Participant’s general training, knowledge, skill, or experience, whether gained on the job or otherwise, information that is readily ascertainable to the public, or information that the Participant otherwise has a right to disclose as legally protected conduct.</w:t>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Hawaii</w:t>
            </w:r>
          </w:p>
        </w:tc>
        <w:tc>
          <w:tcPr>
            <w:tcW w:w="924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disclosing or discussing sexual harassment or sexual assault occurring in the workplace, at work-related events, between employees, or between an employer and an employee.</w:t>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Illinois</w:t>
            </w:r>
          </w:p>
        </w:tc>
        <w:tc>
          <w:tcPr>
            <w:tcW w:w="9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engaging in protected concerted activity to address work-related issues, including prospective or future concerted activity related to workplace conditions.</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Nothing in this Award Agreement prevents the Participant from making truthful statements or disclosures regarding unlawful employment practices arising under any state or federal rule or law governing employment. </w:t>
            </w:r>
          </w:p>
          <w:p>
            <w:pPr>
              <w:pStyle w:val="TableContents"/>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Nothing in this Award Agreement prevents Participant from reporting any allegations of unlawful conduct to federal, state, or local officials for investigation, including, but not limited to, alleged criminal conduct or unlawful employment practices, or from testifying in administrative, legislative, arbitral, or judicial proceedings concerning alleged criminal conduct or unlawful employment practices, or from participating in depositions in any such proceedings, when required or requested to do so by court order, subpoena or other written government request.</w:t>
            </w:r>
          </w:p>
          <w:p>
            <w:pPr>
              <w:pStyle w:val="TableContents"/>
              <w:bidi w:val="0"/>
              <w:spacing w:lineRule="auto" w:line="288" w:before="0" w:after="120"/>
              <w:jc w:val="left"/>
              <w:rPr/>
            </w:pPr>
            <w:r>
              <w:rPr>
                <w:rFonts w:ascii="Arial;sans-serif" w:hAnsi="Arial;sans-serif"/>
                <w:b w:val="false"/>
                <w:color w:val="000000"/>
                <w:sz w:val="20"/>
                <w:shd w:fill="FFFFFF" w:val="clear"/>
              </w:rPr>
              <w:t>For any disputes arising under Section 19, the choice of law and venue shall be the state of Illinois</w:t>
            </w:r>
            <w:r>
              <w:rPr>
                <w:rFonts w:ascii="Arial;sans-serif" w:hAnsi="Arial;sans-serif"/>
                <w:b w:val="false"/>
                <w:color w:val="000000"/>
                <w:sz w:val="20"/>
              </w:rPr>
              <w:t>.</w:t>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Maine</w:t>
            </w:r>
          </w:p>
        </w:tc>
        <w:tc>
          <w:tcPr>
            <w:tcW w:w="9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rPr>
              <w:t xml:space="preserve">Nothing in this Award Agreement prevents the Participant from </w:t>
            </w:r>
            <w:r>
              <w:rPr>
                <w:rFonts w:ascii="Arial;sans-serif" w:hAnsi="Arial;sans-serif"/>
                <w:b w:val="false"/>
                <w:color w:val="000000"/>
                <w:sz w:val="20"/>
                <w:shd w:fill="FFFFFF" w:val="clear"/>
              </w:rPr>
              <w:t>disclosing or discussing unlawful employment discrimination occurring in the workplace or at work-related events.</w:t>
            </w:r>
          </w:p>
        </w:tc>
      </w:tr>
      <w:tr>
        <w:trPr/>
        <w:tc>
          <w:tcPr>
            <w:tcW w:w="96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Jersey</w:t>
            </w:r>
          </w:p>
        </w:tc>
        <w:tc>
          <w:tcPr>
            <w:tcW w:w="92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left"/>
              <w:rPr/>
            </w:pPr>
            <w:r>
              <w:rPr>
                <w:rFonts w:ascii="Arial;sans-serif" w:hAnsi="Arial;sans-serif"/>
                <w:b w:val="false"/>
                <w:color w:val="000000"/>
                <w:sz w:val="20"/>
                <w:shd w:fill="FEFEFE"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EFEFE" w:val="clear"/>
              </w:rPr>
              <w:t xml:space="preserve">Agreement requires the </w:t>
            </w:r>
            <w:r>
              <w:rPr>
                <w:rFonts w:ascii="Arial;sans-serif" w:hAnsi="Arial;sans-serif"/>
                <w:b w:val="false"/>
                <w:color w:val="000000"/>
                <w:sz w:val="20"/>
              </w:rPr>
              <w:t xml:space="preserve">Participant </w:t>
            </w:r>
            <w:r>
              <w:rPr>
                <w:rFonts w:ascii="Arial;sans-serif" w:hAnsi="Arial;sans-serif"/>
                <w:b w:val="false"/>
                <w:color w:val="000000"/>
                <w:sz w:val="20"/>
                <w:shd w:fill="FEFEFE" w:val="clear"/>
              </w:rPr>
              <w:t>to conceal the details relating to a claim of discrimination, retaliation, or harassment.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7665"/>
                <wp:effectExtent l="0" t="0" r="0" b="0"/>
                <wp:wrapNone/>
                <wp:docPr id="90" name="Frame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52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52 of 55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5"/>
        <w:gridCol w:w="400"/>
        <w:gridCol w:w="292"/>
        <w:gridCol w:w="2928"/>
        <w:gridCol w:w="2532"/>
        <w:gridCol w:w="3598"/>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8" w:type="dxa"/>
            <w:tcBorders/>
            <w:vAlign w:val="center"/>
          </w:tcPr>
          <w:p>
            <w:pPr>
              <w:pStyle w:val="TableContents"/>
              <w:bidi w:val="0"/>
              <w:spacing w:before="0" w:after="283"/>
              <w:jc w:val="left"/>
              <w:rPr>
                <w:sz w:val="4"/>
                <w:szCs w:val="4"/>
              </w:rPr>
            </w:pPr>
            <w:r>
              <w:rPr>
                <w:sz w:val="4"/>
                <w:szCs w:val="4"/>
              </w:rPr>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9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shd w:fill="FEFEFE"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EFEFE" w:val="clear"/>
              </w:rPr>
              <w:t xml:space="preserve">Agreement prevents the </w:t>
            </w:r>
            <w:r>
              <w:rPr>
                <w:rFonts w:ascii="Arial;sans-serif" w:hAnsi="Arial;sans-serif"/>
                <w:b w:val="false"/>
                <w:color w:val="000000"/>
                <w:sz w:val="20"/>
              </w:rPr>
              <w:t xml:space="preserve">Participant </w:t>
            </w:r>
            <w:r>
              <w:rPr>
                <w:rFonts w:ascii="Arial;sans-serif" w:hAnsi="Arial;sans-serif"/>
                <w:b w:val="false"/>
                <w:color w:val="000000"/>
                <w:sz w:val="20"/>
                <w:shd w:fill="FEFEFE" w:val="clear"/>
              </w:rPr>
              <w:t>from (a) disclosing factual information related to any future claim of discrimination or (b) making any disclosure relating to any claim the factual foundation for which involves unlawful discrimination, including discriminatory harassment, or retaliation (including disclosure of the underlying facts and circumstances of the claim).</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Oregon</w:t>
            </w:r>
          </w:p>
        </w:tc>
        <w:tc>
          <w:tcPr>
            <w:tcW w:w="9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Nothing in the Award Agreement prevents the Participant from disclosing or discussing conduct (a) that constitutes discrimination prohibited by ORS 659A.030 (Discrimination because of race, color, religion, sex, sexual orientation, gender identity, national origin, marital status, age or expunged juvenile record prohibited), including conduct that constitutes sexual assault, or by ORS 659A.082 (Discrimination against person for service in uniformed service prohibited) or 659A.112 (Employment discrimination), and (b) that occurred between employees or between an employer and an employee in the workplace or at a work-related event that is off the employment premises and coordinated by or through the employer, or between an employer and an employee off the employment premises.</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Rhode Island</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requires that alleged violations of civil rights or alleged unlawful conduct remain confidential.</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Tennessee</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disclosing sexual harassment in the workplace.</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Vermont</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restricts the Participant’s right to oppose, disclose or report sexual harassment.</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Virginia</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requires the Participant to conceal the details relating to a claim of sexual assault or sexual harassment.</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Washington</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(or any other agreement signed by the Participant) prevents the Participant from disclosing or discussing conduct, or the existence of a settlement involving conduct, that the Participant reasonably believed under Washington state, federal, or common law to be illegal discrimination, illegal harassment, illegal retaliation, a wage and hour violation, or sexual assault, or that is recognized as against a clear mandate of public policy.</w:t>
            </w:r>
          </w:p>
        </w:tc>
      </w:tr>
      <w:tr>
        <w:trPr/>
        <w:tc>
          <w:tcPr>
            <w:tcW w:w="114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Wisconsin</w:t>
            </w:r>
          </w:p>
        </w:tc>
        <w:tc>
          <w:tcPr>
            <w:tcW w:w="90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Participant’s confidentiality obligations outlined in Section 19(e) of this Award Agreement with regard to any particular Confidential Information shall commence immediately upon the Participant first having access to such Confidential Information and shall continue during and after employment with the Corporation and its Affiliates until such time as such Confidential Information has become public knowledge other than as a result of the Participant’s breach of this Award Agreement or breach by those acting in concert with the Participant or on the Participant’s behalf, and shall last for two (2) years after the Participant’s employment with the Corporation or its Affiliates ends. Except for “trade secrets” as defined in Wisconsin Statutes §134.90, which are governed by that statute, (a) “Confidential Information” is limited to information that is not generally known to the public (other than through Participant’s disclosure in breach of contract or violation of applicable law) and that would be of value to a competitor if known to that competitor, and (b) the prohibition on disclosure and use of Confidential Information shall apply only (i) during employment and for a period of two years after employment ends and (ii) within the geographic area in which the Corporation and its Affiliates were engaged in business at any time during the most recent three months of Participant’s employment with the Corporation and its Affiliates.</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67665"/>
                <wp:effectExtent l="0" t="0" r="0" b="0"/>
                <wp:wrapNone/>
                <wp:docPr id="91" name="Frame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53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53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URUGUAY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VIETNAM</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Vietnam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through local payroll. The Corporation reserves the right to settle the Awards in shares of Common Stock to the extent the Corporation determines it is necessary or advisable for legal or administrative reasons.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7665"/>
                <wp:effectExtent l="0" t="0" r="0" b="0"/>
                <wp:wrapNone/>
                <wp:docPr id="92" name="Frame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54 of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54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PERFORMANCE RESTRICTED STOCK UNIT</w:t>
      </w:r>
    </w:p>
    <w:p>
      <w:pPr>
        <w:pStyle w:val="TextBody"/>
        <w:bidi w:val="0"/>
        <w:spacing w:lineRule="auto" w:line="288" w:before="0" w:after="0"/>
        <w:jc w:val="center"/>
        <w:rPr/>
      </w:pPr>
      <w:r>
        <w:rPr>
          <w:rFonts w:ascii="Arial;sans-serif" w:hAnsi="Arial;sans-serif"/>
          <w:b/>
          <w:color w:val="000000"/>
          <w:sz w:val="20"/>
        </w:rPr>
        <w:t>AWARD AGREEMENT</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APPENDIX B </w:t>
      </w:r>
    </w:p>
    <w:p>
      <w:pPr>
        <w:pStyle w:val="TextBody"/>
        <w:bidi w:val="0"/>
        <w:spacing w:before="0" w:after="0"/>
        <w:jc w:val="center"/>
        <w:rPr/>
      </w:pPr>
      <w:r>
        <w:rPr/>
      </w:r>
    </w:p>
    <w:p>
      <w:pPr>
        <w:pStyle w:val="TextBody"/>
        <w:bidi w:val="0"/>
        <w:spacing w:lineRule="auto" w:line="288" w:before="0" w:after="420"/>
        <w:jc w:val="left"/>
        <w:rPr>
          <w:rFonts w:ascii="Arial;sans-serif" w:hAnsi="Arial;sans-serif"/>
          <w:b w:val="false"/>
          <w:color w:val="000000"/>
          <w:sz w:val="20"/>
        </w:rPr>
      </w:pPr>
      <w:r>
        <w:rPr>
          <w:rFonts w:ascii="Arial;sans-serif" w:hAnsi="Arial;sans-serif"/>
          <w:b w:val="false"/>
          <w:color w:val="000000"/>
          <w:sz w:val="20"/>
        </w:rPr>
        <w:t xml:space="preserve">Subject to Section 19(i), the length of the Participant’s non-competition obligations following termination of employment as set forth in Section 19(b) and/or Section 20(c) of this Award Agreement is based on the Participant’s Salary Grade as of the date of termination of employment: </w:t>
      </w:r>
    </w:p>
    <w:tbl>
      <w:tblPr>
        <w:tblW w:w="9720" w:type="dxa"/>
        <w:jc w:val="center"/>
        <w:tblInd w:w="0" w:type="dxa"/>
        <w:tblLayout w:type="fixed"/>
        <w:tblCellMar>
          <w:top w:w="28" w:type="dxa"/>
          <w:left w:w="28" w:type="dxa"/>
          <w:bottom w:w="28" w:type="dxa"/>
          <w:right w:w="28" w:type="dxa"/>
        </w:tblCellMar>
      </w:tblPr>
      <w:tblGrid>
        <w:gridCol w:w="852"/>
        <w:gridCol w:w="750"/>
        <w:gridCol w:w="753"/>
        <w:gridCol w:w="2155"/>
        <w:gridCol w:w="2155"/>
        <w:gridCol w:w="305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Salary Grade</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Length of Non-Competition Obligation Following Termination of Employment</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ELT</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Non-ELT Elected Officers</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7</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8</w:t>
            </w:r>
          </w:p>
        </w:tc>
        <w:tc>
          <w:tcPr>
            <w:tcW w:w="73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(1) year</w:t>
            </w:r>
          </w:p>
        </w:tc>
      </w:tr>
    </w:tbl>
    <w:p>
      <w:pPr>
        <w:pStyle w:val="TextBody"/>
        <w:bidi w:val="0"/>
        <w:spacing w:before="0" w:after="4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67665"/>
                <wp:effectExtent l="0" t="0" r="0" b="0"/>
                <wp:wrapNone/>
                <wp:docPr id="93" name="Frame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55 of 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55 of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OFF-CYCLE TIME-VESTED RESTRICTED STOCK UNIT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AWARD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Award, granted effective on __________ (the “Grant Date”), by Kimberly-Clark Corporation, a Delaware corporation (hereinafter called the “Corporation”), to ________________ (the “Participant”) is subject to the terms and conditions of the Kimberly-Clark Corporation 2021 Equity Participation Plan (the “Plan”) and the Award Agreement, including any terms and conditions contained in Appendix A and/or Appendix B to the Award Agreement. </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20"/>
          <w:u w:val="single"/>
        </w:rPr>
        <w:t>W</w:t>
      </w:r>
      <w:r>
        <w:rPr>
          <w:color w:val="000000"/>
        </w:rPr>
        <w:t xml:space="preserve"> </w:t>
      </w:r>
      <w:r>
        <w:rPr>
          <w:rFonts w:ascii="Arial;sans-serif" w:hAnsi="Arial;sans-serif"/>
          <w:b w:val="false"/>
          <w:color w:val="000000"/>
          <w:sz w:val="20"/>
          <w:u w:val="single"/>
        </w:rPr>
        <w:t>I</w:t>
      </w:r>
      <w:r>
        <w:rPr>
          <w:color w:val="000000"/>
        </w:rPr>
        <w:t xml:space="preserve"> </w:t>
      </w:r>
      <w:r>
        <w:rPr>
          <w:rFonts w:ascii="Arial;sans-serif" w:hAnsi="Arial;sans-serif"/>
          <w:b w:val="false"/>
          <w:color w:val="000000"/>
          <w:sz w:val="20"/>
          <w:u w:val="single"/>
        </w:rPr>
        <w:t>T</w:t>
      </w:r>
      <w:r>
        <w:rPr>
          <w:color w:val="000000"/>
        </w:rPr>
        <w:t xml:space="preserve"> </w:t>
      </w:r>
      <w:r>
        <w:rPr>
          <w:rFonts w:ascii="Arial;sans-serif" w:hAnsi="Arial;sans-serif"/>
          <w:b w:val="false"/>
          <w:color w:val="000000"/>
          <w:sz w:val="20"/>
          <w:u w:val="single"/>
        </w:rPr>
        <w:t>N</w:t>
      </w:r>
      <w:r>
        <w:rPr>
          <w:color w:val="000000"/>
        </w:rPr>
        <w:t xml:space="preserve"> </w:t>
      </w:r>
      <w:r>
        <w:rPr>
          <w:rFonts w:ascii="Arial;sans-serif" w:hAnsi="Arial;sans-serif"/>
          <w:b w:val="false"/>
          <w:color w:val="000000"/>
          <w:sz w:val="20"/>
          <w:u w:val="single"/>
        </w:rPr>
        <w:t>E</w:t>
      </w:r>
      <w:r>
        <w:rPr>
          <w:color w:val="000000"/>
        </w:rPr>
        <w:t xml:space="preserve"> </w:t>
      </w:r>
      <w:r>
        <w:rPr>
          <w:rFonts w:ascii="Arial;sans-serif" w:hAnsi="Arial;sans-serif"/>
          <w:b w:val="false"/>
          <w:color w:val="000000"/>
          <w:sz w:val="20"/>
          <w:u w:val="single"/>
        </w:rPr>
        <w:t>S</w:t>
      </w:r>
      <w:r>
        <w:rPr>
          <w:color w:val="000000"/>
        </w:rPr>
        <w:t xml:space="preserve"> </w:t>
      </w:r>
      <w:r>
        <w:rPr>
          <w:rFonts w:ascii="Arial;sans-serif" w:hAnsi="Arial;sans-serif"/>
          <w:b w:val="false"/>
          <w:color w:val="000000"/>
          <w:sz w:val="20"/>
          <w:u w:val="single"/>
        </w:rPr>
        <w:t>S</w:t>
      </w:r>
      <w:r>
        <w:rPr>
          <w:color w:val="000000"/>
        </w:rPr>
        <w:t xml:space="preserve"> </w:t>
      </w:r>
      <w:r>
        <w:rPr>
          <w:rFonts w:ascii="Arial;sans-serif" w:hAnsi="Arial;sans-serif"/>
          <w:b w:val="false"/>
          <w:color w:val="000000"/>
          <w:sz w:val="20"/>
          <w:u w:val="single"/>
        </w:rPr>
        <w:t>E</w:t>
      </w:r>
      <w:r>
        <w:rPr>
          <w:color w:val="000000"/>
        </w:rPr>
        <w:t xml:space="preserve"> </w:t>
      </w:r>
      <w:r>
        <w:rPr>
          <w:rFonts w:ascii="Arial;sans-serif" w:hAnsi="Arial;sans-serif"/>
          <w:b w:val="false"/>
          <w:color w:val="000000"/>
          <w:sz w:val="20"/>
          <w:u w:val="single"/>
        </w:rPr>
        <w:t>T</w:t>
      </w:r>
      <w:r>
        <w:rPr>
          <w:color w:val="000000"/>
        </w:rPr>
        <w:t xml:space="preserve"> </w:t>
      </w:r>
      <w:r>
        <w:rPr>
          <w:rFonts w:ascii="Arial;sans-serif" w:hAnsi="Arial;sans-serif"/>
          <w:b w:val="false"/>
          <w:color w:val="000000"/>
          <w:sz w:val="20"/>
          <w:u w:val="single"/>
        </w:rPr>
        <w:t>H</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WHEREAS, the Corporation has adopted the Plan to encourage those employees who materially contribute, by managerial, scientific or other innovative means, to the success of the Corporation or of an Affiliate, to acquire an ownership interest in the Corporation, thereby increasing their motivation for and interest in the Corporation's and its Affiliates' long-term success;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NOW, THEREFORE, it is agreed as follows: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1.    </w:t>
      </w:r>
      <w:r>
        <w:rPr>
          <w:rFonts w:ascii="Arial;sans-serif" w:hAnsi="Arial;sans-serif"/>
          <w:b w:val="false"/>
          <w:color w:val="000000"/>
          <w:sz w:val="20"/>
          <w:u w:val="single"/>
        </w:rPr>
        <w:t>Number of Share Units Granted</w:t>
      </w:r>
      <w:r>
        <w:rPr>
          <w:rFonts w:ascii="Arial;sans-serif" w:hAnsi="Arial;sans-serif"/>
          <w:b w:val="false"/>
          <w:color w:val="000000"/>
          <w:sz w:val="20"/>
        </w:rPr>
        <w:t xml:space="preserve">. The Corporation hereby grants to the Participant the right to receive all or any part of ________ Off-Cycle Time-Vested Restricted Stock Units (“RSUs”) of the $1.25 par value Common Stock of the Corporation, subject to the terms, conditions and restrictions set forth herein and in the Plan. </w:t>
      </w:r>
    </w:p>
    <w:p>
      <w:pPr>
        <w:pStyle w:val="TextBody"/>
        <w:bidi w:val="0"/>
        <w:spacing w:before="0" w:after="0"/>
        <w:ind w:left="0" w:right="0" w:hanging="720"/>
        <w:jc w:val="left"/>
        <w:rPr/>
      </w:pPr>
      <w:r>
        <w:rPr/>
      </w:r>
    </w:p>
    <w:p>
      <w:pPr>
        <w:pStyle w:val="TextBody"/>
        <w:bidi w:val="0"/>
        <w:spacing w:lineRule="auto" w:line="288" w:before="0" w:after="0"/>
        <w:jc w:val="left"/>
        <w:rPr/>
      </w:pPr>
      <w:r>
        <w:rPr>
          <w:rFonts w:ascii="Arial;sans-serif" w:hAnsi="Arial;sans-serif"/>
          <w:b w:val="false"/>
          <w:color w:val="000000"/>
          <w:sz w:val="20"/>
        </w:rPr>
        <w:t>2.    </w:t>
      </w:r>
      <w:r>
        <w:rPr>
          <w:rFonts w:ascii="Arial;sans-serif" w:hAnsi="Arial;sans-serif"/>
          <w:b w:val="false"/>
          <w:color w:val="000000"/>
          <w:sz w:val="20"/>
          <w:u w:val="single"/>
        </w:rPr>
        <w:t>Transferability Restrictions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u w:val="single"/>
        </w:rPr>
        <w:t>Restricted Period</w:t>
      </w:r>
      <w:r>
        <w:rPr>
          <w:rFonts w:ascii="Arial;sans-serif" w:hAnsi="Arial;sans-serif"/>
          <w:b w:val="false"/>
          <w:color w:val="000000"/>
          <w:sz w:val="20"/>
        </w:rPr>
        <w:t>. During the Restricted Period, the Participant may not sell, assign, transfer, or otherwise dispose of, or mortgage, pledge or otherwise encumber the Award, and any such attempted sale, assignment, transfer, pledge or disposal shall be void. Except as provided in this Section 2, the RSUs, including any accrued dividend equivalents, shall be subject to forfeiture until the Participant becomes vested in such Awards on the date that was approved on the Grant Date and as reflected on the Merrill Lynch Benefits On-line site, or any successor system, via the Grant Summary screen as the Future Vesting table.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Restricted Period shall begin on the date of the granting of this Award, and shall end on [insert]. During the Restricted Period, holders of Awards shall have none of the rights of a shareholder with respect to the shares of Common Stock that may be earned pursuant to the RSUs, including, but not limited to, any right to receive dividends in cash or other property or other distribution or rights in respect of such shares except as otherwise provided in this Award Agreement, nor any right to vote such shares as the record owner thereof.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each year in the Restricted Period, the Participant will not be paid dividend equivalents on the unvested RSUs but the Participant will receive a credit equal to dividends declared on the Corporation’s Common Stock which will be reinvested in additional RSUs at the then fair market value of the Corporation’s Common Stock on the date dividends are paid, and the additional RSUs will be accumulated and paid if and when the RSUs vest, based on the actual number of RSUs that vest. In the case of dividends paid in property other than cash, the amount of the dividend shall be deemed to be the fair market value of the property at the time of the payment of the dividend, as determined in good faith by the Corporation. The Corporation shall not be required to segregate any cash or other property of the Corporation.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u w:val="single"/>
        </w:rPr>
        <w:t>Termination of Employment</w:t>
      </w:r>
      <w:r>
        <w:rPr>
          <w:rFonts w:ascii="Arial;sans-serif" w:hAnsi="Arial;sans-serif"/>
          <w:b w:val="false"/>
          <w:color w:val="000000"/>
          <w:sz w:val="20"/>
        </w:rPr>
        <w:t xml:space="preserve">. For purposes of this Award, the Participant's employment will be considered terminated as of the date the Participant is no longer actively providing services to the Corporation or one of its Affiliates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Award Agreement or determined by the Corporation, the Participant’s right to receive RSUs and vest in the Award under the Plan, if any, will terminate effective as of such date and will not be extended by any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employed for purposes of the Award (including whether the Participant may still be considered employed while on a leave of absence).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shall forfeit any unvested Award, including any accrued dividend equivalents, upon termination of employment unless such termination is (i) due to a Qualified Termination of Employment, or (ii) due to death, Total and Permanent Disability, or the shutdown or divestiture of a business unit. A termination of employment shall not be deemed to have occurred while a Participant is on a military leave or other bona fide leave of absence if the period of such leave does not exceed six months, or if longer, so long as the Participant retains a right to reemployment with the Corporation or an Affiliate under an applicable statute or by contract. For purposes of this sub-section, a leave of absence constitutes a bona fide leave of absence only if there is a reasonable expectation that the Participant will return to perform services for the Corporation or an Affiliate. If the period of leave exceeds six months and the Participant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is substituted for such six-month period in determining whether a termination of employment shall be deemed to have occurred. A termination of employment with the Corporation or an Affiliate to accept immediate reemployment with the Corporation or an Affiliate likewise shall not be deemed to be a termination of employment for the purposes of the Plan. A Participant who is classified as an intermittent employee shall be deemed to have a termination of employment for purposes of the Plan if the level of bona fide services the Participant would perform after such date would permanently decrease to less than 50 percent of the average level of bona fide services performed over the immediately preceding 36-month period (or the full period of services to the Corporation or an Affiliate if the Participant has been providing such services less than 36 months).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purposes of this Award, a termination of employment includes a termination that is deemed an “unfair dismissal” or a “constructive dismissal.” Further, the Participant understands that the Award is a conditional right. Participant shall forfeit any unvested Award upon termination of employment except as provided above, for example, regardless of whether (1) the Participant is considered to be unfairly dismissed without good cause; (2) the Participant is dismissed for disciplinary or objective reasons or due to a collective dismissal; (3) the Participant terminates his or her employment or service relationship due to a change of work location, duties or any other employment or contractual condition; or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RSUs that were not vested on the date of termination of the Participant’s employment or service relationship, as described in the Plan and the Award Agreement.</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(c)</w:t>
      </w:r>
      <w:r>
        <w:rPr>
          <w:rFonts w:ascii="Arial;sans-serif" w:hAnsi="Arial;sans-serif"/>
          <w:b w:val="false"/>
          <w:color w:val="000000"/>
          <w:sz w:val="20"/>
          <w:u w:val="single"/>
        </w:rPr>
        <w:t>Death or Total and Permanent Disability</w:t>
      </w:r>
      <w:r>
        <w:rPr>
          <w:rFonts w:ascii="Arial;sans-serif" w:hAnsi="Arial;sans-serif"/>
          <w:b w:val="false"/>
          <w:color w:val="000000"/>
          <w:sz w:val="20"/>
        </w:rPr>
        <w:t xml:space="preserve">. If the Participant’s termination of employment is due to death or Total and Permanent Disability, it shall result in pro rata vesting, as determined by the Committee, and the number of shares that are considered to vest shall be calculated as (1) the total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67665"/>
                <wp:effectExtent l="0" t="0" r="0" b="0"/>
                <wp:wrapNone/>
                <wp:docPr id="95" name="Frame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number of RSU granted under the Award minus the number of RSUs already vested under the Award multiplied by (2) the number of full months of employment during the Restricted Period divided by the number of full months in the Restricted Period. Any fractional share of the Corporation resulting from such a prorated award shall be rounded to the nearest whole share and shall be paid, along with any other shares earned under such prorated award, within 70 days following the Participant’s termination of employment or within such later period as permitted by Section 409A of the U.S. Internal Revenue Code of 1986 and the regulations thereunder, as amended from time to time (the “Code”), subject to Section 2(h) below, if applicable. Any fractional share of the Corporation resulting from such a prorated Award shall be rounded to the nearest whole share. </w:t>
      </w:r>
    </w:p>
    <w:p>
      <w:pPr>
        <w:pStyle w:val="TextBody"/>
        <w:bidi w:val="0"/>
        <w:spacing w:lineRule="auto" w:line="288" w:before="0" w:after="240"/>
        <w:jc w:val="left"/>
        <w:rPr/>
      </w:pPr>
      <w:r>
        <w:rPr>
          <w:rFonts w:ascii="Arial;sans-serif" w:hAnsi="Arial;sans-serif"/>
          <w:b w:val="false"/>
          <w:color w:val="000000"/>
          <w:sz w:val="20"/>
        </w:rPr>
        <w:t>(d)</w:t>
      </w:r>
      <w:r>
        <w:rPr>
          <w:rFonts w:ascii="Arial;sans-serif" w:hAnsi="Arial;sans-serif"/>
          <w:b w:val="false"/>
          <w:color w:val="000000"/>
          <w:sz w:val="20"/>
          <w:u w:val="single"/>
        </w:rPr>
        <w:t>Shutdown or Divestiture</w:t>
      </w:r>
      <w:r>
        <w:rPr>
          <w:rFonts w:ascii="Arial;sans-serif" w:hAnsi="Arial;sans-serif"/>
          <w:b w:val="false"/>
          <w:color w:val="000000"/>
          <w:sz w:val="20"/>
        </w:rPr>
        <w:t xml:space="preserve">. In the event that after the Grant Date the Participant’s termination of employment is due to the shutdown or divestiture of the Corporation’s or its Affiliate’s business, it shall result in pro rata vesting, as determined by the Committee, and the number of shares that are considered to vest shall be calculated as (1) the total number of RSUs granted under the Award minus the number of RSUs already vested under the Award multiplied by (2) the number of full months of employment during the Restricted Period divided by the number of full months in the Restricted Period. Any fractional share of the Corporation resulting from such a prorated award shall be rounded to the nearest whole share and shall be paid, along with any other shares earned under such prorated award, within 70 days following the Participant’s termination of employment or within such later period as permitted by Section 409A of the Code, subject to Section 2(h) below, if applicable. For the purposes of this Award, a shutdown or divestiture of the Corporation’s or its Affiliate’s business unit is defined as one for which the charges related to the shutdown or divestiture are accounted for, and reported externally, as an exit activity in the Corporation's applicable SEC filings. The Corporation has complete discretion to determine whether a shutdown or divestiture of a business unit has occurred under the terms of the Plan. </w:t>
      </w:r>
    </w:p>
    <w:p>
      <w:pPr>
        <w:pStyle w:val="TextBody"/>
        <w:bidi w:val="0"/>
        <w:spacing w:lineRule="auto" w:line="288" w:before="0" w:after="240"/>
        <w:jc w:val="left"/>
        <w:rPr/>
      </w:pPr>
      <w:r>
        <w:rPr>
          <w:rFonts w:ascii="Arial;sans-serif" w:hAnsi="Arial;sans-serif"/>
          <w:b w:val="false"/>
          <w:color w:val="000000"/>
          <w:sz w:val="20"/>
        </w:rPr>
        <w:t>(e)</w:t>
      </w:r>
      <w:r>
        <w:rPr>
          <w:rFonts w:ascii="Arial;sans-serif" w:hAnsi="Arial;sans-serif"/>
          <w:b w:val="false"/>
          <w:color w:val="000000"/>
          <w:sz w:val="20"/>
          <w:u w:val="single"/>
        </w:rPr>
        <w:t>Qualified Termination of Employment</w:t>
      </w:r>
      <w:r>
        <w:rPr>
          <w:rFonts w:ascii="Arial;sans-serif" w:hAnsi="Arial;sans-serif"/>
          <w:b w:val="false"/>
          <w:color w:val="000000"/>
          <w:sz w:val="20"/>
        </w:rPr>
        <w:t>. In the event of a Qualified Termination of Employment, all restrictions will lapse, and the shares will become fully vested and shall be paid within 10 days following the last day of employment of the Participant with the Corporation or an Affiliate, subject to Section 2(h) below, if applicable.</w:t>
      </w:r>
    </w:p>
    <w:p>
      <w:pPr>
        <w:pStyle w:val="TextBody"/>
        <w:bidi w:val="0"/>
        <w:spacing w:lineRule="auto" w:line="288" w:before="0" w:after="240"/>
        <w:jc w:val="left"/>
        <w:rPr/>
      </w:pPr>
      <w:r>
        <w:rPr>
          <w:rFonts w:ascii="Arial;sans-serif" w:hAnsi="Arial;sans-serif"/>
          <w:b w:val="false"/>
          <w:color w:val="000000"/>
          <w:sz w:val="20"/>
        </w:rPr>
        <w:t>(f)</w:t>
      </w:r>
      <w:r>
        <w:rPr>
          <w:rFonts w:ascii="Arial;sans-serif" w:hAnsi="Arial;sans-serif"/>
          <w:b w:val="false"/>
          <w:color w:val="000000"/>
          <w:sz w:val="20"/>
          <w:u w:val="single"/>
        </w:rPr>
        <w:t>Payment of Awards</w:t>
      </w:r>
      <w:r>
        <w:rPr>
          <w:rFonts w:ascii="Arial;sans-serif" w:hAnsi="Arial;sans-serif"/>
          <w:b w:val="false"/>
          <w:color w:val="000000"/>
          <w:sz w:val="20"/>
        </w:rPr>
        <w:t xml:space="preserve">. Unless otherwise set forth herein, the payment of the Award shall be made in shares of Common Stock and the payment of an Award shall be made within 70 days following the end of the Restricted Period. </w:t>
      </w:r>
    </w:p>
    <w:p>
      <w:pPr>
        <w:pStyle w:val="TextBody"/>
        <w:bidi w:val="0"/>
        <w:spacing w:lineRule="auto" w:line="288" w:before="0" w:after="240"/>
        <w:jc w:val="left"/>
        <w:rPr/>
      </w:pPr>
      <w:r>
        <w:rPr>
          <w:rFonts w:ascii="Arial;sans-serif" w:hAnsi="Arial;sans-serif"/>
          <w:b w:val="false"/>
          <w:color w:val="000000"/>
          <w:sz w:val="20"/>
        </w:rPr>
        <w:t>(g)</w:t>
      </w:r>
      <w:r>
        <w:rPr>
          <w:rFonts w:ascii="Arial;sans-serif" w:hAnsi="Arial;sans-serif"/>
          <w:b w:val="false"/>
          <w:color w:val="000000"/>
          <w:sz w:val="20"/>
          <w:u w:val="single"/>
        </w:rPr>
        <w:t>Payment of Tax-Related Items</w:t>
      </w:r>
      <w:r>
        <w:rPr>
          <w:rFonts w:ascii="Arial;sans-serif" w:hAnsi="Arial;sans-serif"/>
          <w:b w:val="false"/>
          <w:color w:val="000000"/>
          <w:sz w:val="20"/>
        </w:rPr>
        <w:t>. No shares of Common Stock, nor any cash payment, may be delivered under this Award, unless prior to or simultaneously with such issuance, the Participant or, in the event of his death, the person succeeding to his rights hereunder, shall pay to the Corporation or an Affiliate, as applicable, such amount as the Corporation advises is required under applicable federal, state or local laws to withhold and pay over to governmental taxing authorities in relation to this Award. The Corporation may, in its discretion, withhold payment of required Tax-Related items (as defined in the Acknowledgment of Conditions section) with cash or shares of Common Stock which otherwise would be delivered following the date of vesting of the Award under this Section 2.</w:t>
      </w:r>
    </w:p>
    <w:p>
      <w:pPr>
        <w:pStyle w:val="TextBody"/>
        <w:bidi w:val="0"/>
        <w:spacing w:lineRule="auto" w:line="288" w:before="0" w:after="240"/>
        <w:jc w:val="left"/>
        <w:rPr/>
      </w:pPr>
      <w:r>
        <w:rPr>
          <w:rFonts w:ascii="Arial;sans-serif" w:hAnsi="Arial;sans-serif"/>
          <w:b w:val="false"/>
          <w:color w:val="000000"/>
          <w:sz w:val="20"/>
        </w:rPr>
        <w:t>(h)</w:t>
      </w:r>
      <w:r>
        <w:rPr>
          <w:rFonts w:ascii="Arial;sans-serif" w:hAnsi="Arial;sans-serif"/>
          <w:b w:val="false"/>
          <w:color w:val="000000"/>
          <w:sz w:val="20"/>
          <w:u w:val="single"/>
        </w:rPr>
        <w:t>Payments to Key Employees</w:t>
      </w:r>
      <w:r>
        <w:rPr>
          <w:rFonts w:ascii="Arial;sans-serif" w:hAnsi="Arial;sans-serif"/>
          <w:b w:val="false"/>
          <w:color w:val="000000"/>
          <w:sz w:val="20"/>
        </w:rPr>
        <w:t>. Notwithstanding anything in this Agreement to the contrary, to the extent that the Award may constitute “nonqualified deferred compensation” within the meaning of Section 409A of the Code, the payment of an Award to a Key Employee who has separated from service due to a Qualified Termination of Employment, a Total and Permanent Disability, or a shutdown or divestiture of the Corporation’s or its Affiliate’s business (pursuant to Sections 2(c), 2(d) or 2(e) above, respectively) shall be made at the earlier of the first day of the seventh month following the date of separation from service or the end of the Restricted Period. A Key Employee is any Participant who meets the definition of a specified employee as defined in Section 409A(a)(2)(B)(i) of the Code and the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7665"/>
                <wp:effectExtent l="0" t="0" r="0" b="0"/>
                <wp:wrapNone/>
                <wp:docPr id="96" name="Frame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0"/>
        </w:rPr>
        <w:t>3.    </w:t>
      </w:r>
      <w:r>
        <w:rPr>
          <w:rFonts w:ascii="Arial;sans-serif" w:hAnsi="Arial;sans-serif"/>
          <w:b w:val="false"/>
          <w:color w:val="000000"/>
          <w:sz w:val="20"/>
          <w:u w:val="single"/>
        </w:rPr>
        <w:t>Nontransferability</w:t>
      </w:r>
      <w:r>
        <w:rPr>
          <w:rFonts w:ascii="Arial;sans-serif" w:hAnsi="Arial;sans-serif"/>
          <w:b w:val="false"/>
          <w:color w:val="000000"/>
          <w:sz w:val="20"/>
        </w:rPr>
        <w:t xml:space="preserve">. Neither the Award nor the Participant’s right to receive payment for vested Awards may be assigned or transferred except upon the death of the Participant (i) by will or (ii) by the laws of descent and distribution.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4.    </w:t>
      </w:r>
      <w:r>
        <w:rPr>
          <w:rFonts w:ascii="Arial;sans-serif" w:hAnsi="Arial;sans-serif"/>
          <w:b w:val="false"/>
          <w:color w:val="000000"/>
          <w:sz w:val="20"/>
          <w:u w:val="single"/>
        </w:rPr>
        <w:t>Compliance with Law</w:t>
      </w:r>
      <w:r>
        <w:rPr>
          <w:rFonts w:ascii="Arial;sans-serif" w:hAnsi="Arial;sans-serif"/>
          <w:b w:val="false"/>
          <w:color w:val="000000"/>
          <w:sz w:val="20"/>
        </w:rPr>
        <w:t>. No payment may be made under this Award, unless prior to the issuance thereof, the Corporation shall have received an opinion of counsel to the effect that this Award by the Corporation to the Participant will not constitute a violation of the U.S. Securities Act of 1933, as amended. As a condition of this Award, the Participant shall, if requested by the Corporation, submit a written statement in form satisfactory to counsel for the Corporation, to the effect that any shares received under this Award shall be for investment and not with a view to the distribution thereof within the meaning of the U.S. Securities Act of 1933, as amended, and the Corporation shall have the right, in its discretion, to cause the certificates representing shares hereunder to be appropriately legended to refer to such undertaking or to any legal restrictions imposed upon the transferability thereof by reason of such undertaking.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Award granted hereby is subject to the condition that if the listing, registration or qualification of the shares subject hereto on any securities exchange or under any state or federal law, or if the consent or approval of any regulatory body shall be necessary as a condition of, or in connection with, the granting of the Award or the delivery of shares thereunder, such shares may not be delivered unless and until such listing, registration, qualification, consent or approval shall have been effected or obtained. The Corporation agrees to use its best efforts to obtain any such requisite listing, registration, qualification, consent or approval.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is solely responsible for obtaining/providing whatever exchange control approvals, permits, licenses, or notices, which may be necessary for the Participant to hold the Award, or to receive any payment of cash or shares or to hold or sell the shares subject to the Award, if any. Neither the Corporation nor its Affiliates will be responsible for obtaining any such approvals, licenses or permits, or for making any such notices, nor will the Corporation or its Affiliates be liable for any fines or penalties the Participant may incur for failure to obtain any required approvals, permits or licenses or to make any required notices.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5.    </w:t>
      </w:r>
      <w:r>
        <w:rPr>
          <w:rFonts w:ascii="Arial;sans-serif" w:hAnsi="Arial;sans-serif"/>
          <w:b w:val="false"/>
          <w:color w:val="000000"/>
          <w:sz w:val="20"/>
          <w:u w:val="single"/>
        </w:rPr>
        <w:t>No Right of Continued Employment</w:t>
      </w:r>
      <w:r>
        <w:rPr>
          <w:rFonts w:ascii="Arial;sans-serif" w:hAnsi="Arial;sans-serif"/>
          <w:b w:val="false"/>
          <w:color w:val="000000"/>
          <w:sz w:val="20"/>
        </w:rPr>
        <w:t>. The granting of this Award does not confer upon the Participant any legal right to be continued in the employ of the Corporation or its Affiliates, and the Corporation and its Affiliates reserve the right to discharge the Participant whenever the interest of the Corporation or its Affiliates may so require without liability to the Corporation or its Affiliates, the Board of Directors of the Corporation or its Affiliates, or the Committee, except as to any rights which may be expressly conferred on the Participant under this Award.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6.    </w:t>
      </w:r>
      <w:r>
        <w:rPr>
          <w:rFonts w:ascii="Arial;sans-serif" w:hAnsi="Arial;sans-serif"/>
          <w:b w:val="false"/>
          <w:color w:val="000000"/>
          <w:sz w:val="20"/>
          <w:u w:val="single"/>
        </w:rPr>
        <w:t>Discretion of the Corporation, Board of Directors and the Committee</w:t>
      </w:r>
      <w:r>
        <w:rPr>
          <w:rFonts w:ascii="Arial;sans-serif" w:hAnsi="Arial;sans-serif"/>
          <w:b w:val="false"/>
          <w:color w:val="000000"/>
          <w:sz w:val="20"/>
        </w:rPr>
        <w:t xml:space="preserve">. Any decision made or action taken by the Corporation or by the Board of Directors of the Corporation or by the Committee arising out of or in connection with the construction, administration, interpretation and effect of this Award shall be within the absolute discretion of the Corporation, the Board of Directors of the Corporation or the Committee, as the case may be, and shall be conclusive and binding upon all persons.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7.    </w:t>
      </w:r>
      <w:r>
        <w:rPr>
          <w:rFonts w:ascii="Arial;sans-serif" w:hAnsi="Arial;sans-serif"/>
          <w:b w:val="false"/>
          <w:color w:val="000000"/>
          <w:sz w:val="20"/>
          <w:u w:val="single"/>
        </w:rPr>
        <w:t>Inalienability of Benefits and Interest</w:t>
      </w:r>
      <w:r>
        <w:rPr>
          <w:rFonts w:ascii="Arial;sans-serif" w:hAnsi="Arial;sans-serif"/>
          <w:b w:val="false"/>
          <w:color w:val="000000"/>
          <w:sz w:val="20"/>
        </w:rPr>
        <w:t>. This Award and the rights and privileges conferred hereby shall not be subject in any manner to anticipation, alienation, sale, transfer, assignment, pledge, encumbrance or charge, and any such attempted action shall be void and no such benefit or interest shall be in any manner liable for or subject to debts, contracts, liabilities, engagements, or torts of the Participant.</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8.    </w:t>
      </w:r>
      <w:r>
        <w:rPr>
          <w:rFonts w:ascii="Arial;sans-serif" w:hAnsi="Arial;sans-serif"/>
          <w:b w:val="false"/>
          <w:color w:val="000000"/>
          <w:sz w:val="20"/>
          <w:u w:val="single"/>
        </w:rPr>
        <w:t>Governing Law and Consent to Jurisdiction.</w:t>
      </w:r>
      <w:r>
        <w:rPr>
          <w:color w:val="000000"/>
        </w:rPr>
        <w:t xml:space="preserve"> </w:t>
      </w:r>
      <w:r>
        <w:rPr>
          <w:rFonts w:ascii="Arial;sans-serif" w:hAnsi="Arial;sans-serif"/>
          <w:b w:val="false"/>
          <w:color w:val="000000"/>
          <w:sz w:val="20"/>
        </w:rPr>
        <w:t xml:space="preserve">Subject to Section 19(i) below, all questions pertaining to the construction, interpretation, regulation, validity and effect of the provisions of this Award and any rights under the Plan shall be determined in accordance with the laws of the State of Delaware.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7665"/>
                <wp:effectExtent l="0" t="0" r="0" b="0"/>
                <wp:wrapNone/>
                <wp:docPr id="97" name="Frame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Corporation, its Affiliates, and the Participant (a) hereby irrevocably submit to the exclusive jurisdiction of the state and federal courts in the State of Delaware for the purposes of any claim or action arising out of or based upon this Award Agreement or relating to the subject matter hereof; (b) hereby waive, to the extent not prohibited by applicable law, and agree not to assert by way of motion, as a defense or otherwise, in any such claim or action, any claim that it, he or she is not subject personally to the jurisdiction of the above-named courts, that its, his or her property is exempt or immune from attachment or execution, that any such proceeding brought in the above-named court is improper or that this Award Agreement or the subject matter hereof may not be enforced in or by such court; and (c) hereby agree not to commence any claim or action arising out of or based upon this Award Agreement or relating to the subject matter hereof other than before the above-named courts nor to make any motion or take any other action seeking or intending to cause the transfer or removal of any such claim or action to any court other than the above-named courts whether on the grounds of inconvenient forum or otherwise; provided, however, that the Corporation, its Affiliates, and the Participant may seek to enforce a judgment issued by the above-named courts in any proper jurisdiction. The Corporation, its Affiliates, and the Participant hereby consent to service of process in any such proceeding, and agree that service of process by registered or certified mail, return receipt requested is reasonably calculated to give actual notice.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9.    </w:t>
      </w:r>
      <w:r>
        <w:rPr>
          <w:rFonts w:ascii="Arial;sans-serif" w:hAnsi="Arial;sans-serif"/>
          <w:b w:val="false"/>
          <w:color w:val="000000"/>
          <w:sz w:val="20"/>
          <w:u w:val="single"/>
        </w:rPr>
        <w:t>Purchase of Common Stock</w:t>
      </w:r>
      <w:r>
        <w:rPr>
          <w:rFonts w:ascii="Arial;sans-serif" w:hAnsi="Arial;sans-serif"/>
          <w:b w:val="false"/>
          <w:color w:val="000000"/>
          <w:sz w:val="20"/>
        </w:rPr>
        <w:t>. The Corporation and its Affiliates may, but shall not be required to, purchase shares of Common Stock of the Corporation for purposes of satisfying the requirements of this Award. The Corporation and its Affiliates shall have no obligation to retain and shall have the unlimited right to sell or otherwise deal with for their own account, any shares of Common Stock of the Corporation purchased for satisfying the requirements of this Award.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10.    </w:t>
      </w:r>
      <w:r>
        <w:rPr>
          <w:rFonts w:ascii="Arial;sans-serif" w:hAnsi="Arial;sans-serif"/>
          <w:b w:val="false"/>
          <w:color w:val="000000"/>
          <w:sz w:val="20"/>
          <w:u w:val="single"/>
        </w:rPr>
        <w:t>Notices</w:t>
      </w:r>
      <w:r>
        <w:rPr>
          <w:rFonts w:ascii="Arial;sans-serif" w:hAnsi="Arial;sans-serif"/>
          <w:b w:val="false"/>
          <w:color w:val="000000"/>
          <w:sz w:val="20"/>
        </w:rPr>
        <w:t>. Any notice to be given to the Corporation under this Award, except as required under Sections 19 and 20 below, shall be addressed to the Corporation in care of its Chief Human Resources Officer at Kimberly Clark, 351 Phelps Drive Irving, TX 75038, USA, and any notice to be given to the Participant under the terms of this Award may be addressed to him or her at the address as it appears on the Corporation's records, or at such other address as either party may hereafter designate in writing to the other. Any such notice shall be deemed to have been duly given if and when enclosed in a properly sealed envelope or wrapper addressed as aforesaid, registered and deposited, postage and registry fee prepaid, in a post office or branch post office regularly maintained by the United States Government or any equivalent non-U.S. postal service.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11.    </w:t>
      </w:r>
      <w:r>
        <w:rPr>
          <w:rFonts w:ascii="Arial;sans-serif" w:hAnsi="Arial;sans-serif"/>
          <w:b w:val="false"/>
          <w:color w:val="000000"/>
          <w:sz w:val="20"/>
          <w:u w:val="single"/>
        </w:rPr>
        <w:t>Changes in Capitalization</w:t>
      </w:r>
      <w:r>
        <w:rPr>
          <w:rFonts w:ascii="Arial;sans-serif" w:hAnsi="Arial;sans-serif"/>
          <w:b w:val="false"/>
          <w:color w:val="000000"/>
          <w:sz w:val="20"/>
        </w:rPr>
        <w:t>. In the event there are any changes in the Common Stock or the capitalization of the Corporation through a corporate transaction, such as any merger, any acquisition through the issuance of capital stock of the Corporation, any consolidation, any separation of the Corporation (including a spin-off or other distribution of stock of the Corporation), any reorganization of the Corporation (whether or not such reorganization comes within the definition of such term in Section 368 of the Code), or any partial or complete liquidation by the Corporation, recapitalization, stock dividend, stock split or other change in the corporate structure, appropriate adjustments and changes shall be made by the Committee in (a) the number and type or class of shares subject to this Award, and (b) such other provisions of this Award as may be necessary and equitable to carry out the foregoing purposes.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12.    </w:t>
      </w:r>
      <w:r>
        <w:rPr>
          <w:rFonts w:ascii="Arial;sans-serif" w:hAnsi="Arial;sans-serif"/>
          <w:b w:val="false"/>
          <w:color w:val="000000"/>
          <w:sz w:val="20"/>
          <w:u w:val="single"/>
        </w:rPr>
        <w:t>Effect on Other Plans</w:t>
      </w:r>
      <w:r>
        <w:rPr>
          <w:rFonts w:ascii="Arial;sans-serif" w:hAnsi="Arial;sans-serif"/>
          <w:b w:val="false"/>
          <w:color w:val="000000"/>
          <w:sz w:val="20"/>
        </w:rPr>
        <w:t>. All benefits under this Award shall constitute special incentives and shall not affect the level of benefits provided to or received by the Participant (or the Participant's estate or beneficiaries) as part of any employee benefit plan of the Corporation or an Affiliate. This Award shall not be construed to affect in any way the Participant's rights and obligations under any other plan maintained by the Corporation or an Affiliate on behalf of employees.</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13.    </w:t>
      </w:r>
      <w:r>
        <w:rPr>
          <w:rFonts w:ascii="Arial;sans-serif" w:hAnsi="Arial;sans-serif"/>
          <w:b w:val="false"/>
          <w:color w:val="000000"/>
          <w:sz w:val="20"/>
          <w:u w:val="single"/>
        </w:rPr>
        <w:t>Discretionary Nature of Award</w:t>
      </w:r>
      <w:r>
        <w:rPr>
          <w:rFonts w:ascii="Arial;sans-serif" w:hAnsi="Arial;sans-serif"/>
          <w:b w:val="false"/>
          <w:color w:val="000000"/>
          <w:sz w:val="20"/>
        </w:rPr>
        <w:t xml:space="preserve">. The grant of an Award is a one-time benefit and does not create any contractual or other right to receive a grant of Awards or benefits in lieu of Awards in the future. Future grants, if any, will be at the sole discretion of the Corporation, including, but not limited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7665"/>
                <wp:effectExtent l="0" t="0" r="0" b="0"/>
                <wp:wrapNone/>
                <wp:docPr id="98" name="Frame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timing of any grant, the number of RSUs and vesting provisions. The value of the Award is an extraordinary item outside the scope of the Participant’s employment contract, if any. As such, the Award is not part of normal or expected compensation for purposes of calculating any severance, resignation, termination, redundancy, dismissal, end of service payments, bonuses, long-service awards, leave-related payments, holiday pay, pension, retirement or welfare benefits or similar payments.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14.    </w:t>
      </w:r>
      <w:r>
        <w:rPr>
          <w:rFonts w:ascii="Arial;sans-serif" w:hAnsi="Arial;sans-serif"/>
          <w:b w:val="false"/>
          <w:color w:val="000000"/>
          <w:sz w:val="20"/>
          <w:u w:val="single"/>
        </w:rPr>
        <w:t>Data Privacy</w:t>
      </w:r>
      <w:r>
        <w:rPr>
          <w:rFonts w:ascii="Arial;sans-serif" w:hAnsi="Arial;sans-serif"/>
          <w:b w:val="false"/>
          <w:color w:val="000000"/>
          <w:sz w:val="20"/>
        </w:rPr>
        <w:t>. The Participant hereby authorizes their actual employer (the “Employer”) to furnish the Corporation (and any agent of the Corporation administering the Plan or providing Plan recordkeeping services) with such information and data as it shall request in order to facilitate the grant of Awards and administration of the Plan and the Participant waives any data privacy rights such Participant might otherwise have with respect to such information.</w:t>
      </w:r>
      <w:r>
        <w:rPr>
          <w:color w:val="000000"/>
        </w:rPr>
        <w:t xml:space="preserve"> </w:t>
      </w:r>
      <w:r>
        <w:rPr>
          <w:rFonts w:ascii="Arial;sans-serif" w:hAnsi="Arial;sans-serif"/>
          <w:b w:val="false"/>
          <w:color w:val="000000"/>
          <w:sz w:val="20"/>
        </w:rPr>
        <w:t>The Controller of personal data processing is Kimberly-Clark Corporation with registered offices at 351 Phelps Drive, Irving, Texas 75038, United States of America</w:t>
      </w:r>
      <w:r>
        <w:rPr>
          <w:rFonts w:ascii="Arial;sans-serif" w:hAnsi="Arial;sans-serif"/>
          <w:b/>
          <w:i/>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15.    </w:t>
      </w:r>
      <w:r>
        <w:rPr>
          <w:rFonts w:ascii="Arial;sans-serif" w:hAnsi="Arial;sans-serif"/>
          <w:b w:val="false"/>
          <w:color w:val="000000"/>
          <w:sz w:val="20"/>
          <w:u w:val="single"/>
        </w:rPr>
        <w:t>Conflict with Plan or Other Documents</w:t>
      </w:r>
      <w:r>
        <w:rPr>
          <w:rFonts w:ascii="Arial;sans-serif" w:hAnsi="Arial;sans-serif"/>
          <w:b w:val="false"/>
          <w:color w:val="000000"/>
          <w:sz w:val="20"/>
        </w:rPr>
        <w:t>. This Award is awarded pursuant to and subject to the Plan. This Agreement is intended to supplement and carry out the terms of the Plan. It is subject to all terms and provisions of the Plan and, in the event of a conflict, the Plan shall prevail. In the event of any conflict between this Agreement and the terms of any notice, communication, plan summary, prospectus or other ancillary documentation relating to the Award, this Agreement will prevail.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16.    </w:t>
      </w:r>
      <w:r>
        <w:rPr>
          <w:rFonts w:ascii="Arial;sans-serif" w:hAnsi="Arial;sans-serif"/>
          <w:b w:val="false"/>
          <w:color w:val="000000"/>
          <w:sz w:val="20"/>
          <w:u w:val="single"/>
        </w:rPr>
        <w:t>Successors</w:t>
      </w:r>
      <w:r>
        <w:rPr>
          <w:rFonts w:ascii="Arial;sans-serif" w:hAnsi="Arial;sans-serif"/>
          <w:b w:val="false"/>
          <w:color w:val="000000"/>
          <w:sz w:val="20"/>
        </w:rPr>
        <w:t>. This Award Agreement, including but not limited to the restrictive covenants described in Sections 19 and 20 below, shall be binding upon and inure to the benefit of any successor or successors of the Corporation.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17.    </w:t>
      </w:r>
      <w:r>
        <w:rPr>
          <w:rFonts w:ascii="Arial;sans-serif" w:hAnsi="Arial;sans-serif"/>
          <w:b w:val="false"/>
          <w:color w:val="000000"/>
          <w:sz w:val="20"/>
          <w:u w:val="single"/>
        </w:rPr>
        <w:t>Amendments</w:t>
      </w:r>
      <w:r>
        <w:rPr>
          <w:rFonts w:ascii="Arial;sans-serif" w:hAnsi="Arial;sans-serif"/>
          <w:b w:val="false"/>
          <w:color w:val="000000"/>
          <w:sz w:val="20"/>
        </w:rPr>
        <w:t>. The Committee may at any time alter or amend this Award to the extent (a) permitted by law, (b) permitted by the rules of any stock exchange on which the Common Stock or any other security of the Corporation is listed, and (c) permitted under applicable provisions of the U.S. Securities Act of 1933, as amended, the U.S. Securities Exchange Act of 1934, as amended (including rule 16b-3 thereof).</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18.    </w:t>
      </w:r>
      <w:r>
        <w:rPr>
          <w:rFonts w:ascii="Arial;sans-serif" w:hAnsi="Arial;sans-serif"/>
          <w:b w:val="false"/>
          <w:color w:val="000000"/>
          <w:sz w:val="20"/>
          <w:u w:val="single"/>
        </w:rPr>
        <w:t>Defined Terms</w:t>
      </w:r>
      <w:r>
        <w:rPr>
          <w:rFonts w:ascii="Arial;sans-serif" w:hAnsi="Arial;sans-serif"/>
          <w:b w:val="false"/>
          <w:color w:val="000000"/>
          <w:sz w:val="20"/>
        </w:rPr>
        <w:t>. Terms which are capitalized are defined herein or in the Plan and have the same meaning set forth in the Plan, unless the context indicates otherwise.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20"/>
        </w:rPr>
        <w:t>19.    </w:t>
      </w:r>
      <w:r>
        <w:rPr>
          <w:rFonts w:ascii="Arial;sans-serif" w:hAnsi="Arial;sans-serif"/>
          <w:b w:val="false"/>
          <w:color w:val="000000"/>
          <w:sz w:val="20"/>
          <w:u w:val="single"/>
        </w:rPr>
        <w:t>Restrictive Covenants For U.S. Participants</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u w:val="single"/>
        </w:rPr>
        <w:t>Application</w:t>
      </w:r>
      <w:r>
        <w:rPr>
          <w:rFonts w:ascii="Arial;sans-serif" w:hAnsi="Arial;sans-serif"/>
          <w:b w:val="false"/>
          <w:color w:val="000000"/>
          <w:sz w:val="20"/>
        </w:rPr>
        <w:t xml:space="preserve">. The provisions of this Section 19 apply to Participants who are employed by the Corporation or an Affiliate located in the United States and are subject to the laws of the United States as of the date of termination of the Participant's employment; provided, however, that to the extent the Participant is party to an employment or other agreement with the Corporation or any Affiliate containing non-competition, non-solicitation, confidentiality, business ideas or similar restrictions (a “standalone restrictive covenant agreement”), whether or not such standalone restrictive covenant agreement has been agreed to before or after execution of this Award Agreement, that standalone restrictive covenant agreement and related enforcement provisions shall apply and the following provisions of this Section 19 shall also apply, unless otherwise determined by the Corporation in its sole discretion. Notwithstanding the foregoing, Section 19(m) below shall apply in any case. </w:t>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u w:val="single"/>
        </w:rPr>
        <w:t>Non-Competition</w:t>
      </w:r>
      <w:r>
        <w:rPr>
          <w:rFonts w:ascii="Arial;sans-serif" w:hAnsi="Arial;sans-serif"/>
          <w:b w:val="false"/>
          <w:color w:val="000000"/>
          <w:sz w:val="20"/>
        </w:rPr>
        <w:t xml:space="preserve">. Subject to Section 19(i), it is acknowledged that the Participant has acquired or will acquire Confidential Information during the Participant’s employment with the Corporation or any Affiliate, and should the Participant’s employment cease, the Participant will inevitably use or disclose the Corporation’s or an Affiliate’s Confidential Information while working in a competitive role. It is further acknowledged that it may be difficult to police Section 19(e) below, prohibiting the disclosure of such Confidential Information as well as the non-solicitation sub-sections set out below. For these reasons, during the term of the Participant’s employment with the Corporation or any Affiliate and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67665"/>
                <wp:effectExtent l="0" t="0" r="0" b="0"/>
                <wp:wrapNone/>
                <wp:docPr id="99" name="Frame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applicable period listed in Appendix B of this Award Agreement following the termination of Participant’s employment with the Corporation or any Affiliate, regardless of the reason for or the manner of termination, the Participant shall not, in any country or countries for which the Participant had development, marketing, innovation/technology (R&amp;D), distribution, sales, administrative, operational/supply chain, manufacturing oversight, or other responsibilities during the last two (2) years of the Participant’s employment or was provided with regular and material access to Confidential Information regarding the Corporation’s or an Affiliate's business operations in that country or countries during the last two (2) years of the Participant’s employment, either directly or indirectly, perform duties or undertake responsibilities (including without limitation as an employee, employer, owner, operator, manager, advisor, consultant, contractor, agent, partner, director, officer, volunteer, intern, or any other similar capacity) for a Competitor (as defined below) that are the same or substantially similar to those duties or responsibilities that the Participant performed or undertook for the Corporation or an Affiliate during the two (2) year period prior to the end of the Participant’s employment with the Corporation or an Affiliate. “Confidential Information,” for purposes of this Section 19, shall mean (i) statutory trade secrets; (ii) proprietary information developed or acquired by the Corporation that does not rise to the level of a statutorily protectable trade secret and is made the property of the Corporation through this mutual Agreement of the parties; and (iii) information that is otherwise legally protectable. Such Confidential Information includes, but is not limited to, information in whatever form (including, without limitation, in written, oral, visual or electronic form or on any magnetic or optical disk or memory storage medium, as well as other physical items wherever located, and abstracts or summaries of the foregoing) relating to the business, suppliers, customers, products, affairs and finances of the Corporation or any Affiliate for the time being confidential to the Corporation or any Affiliate, ideas, conceptions, compilations of data, and developments created by the Corporation, whether or not patentable and whether or not copyrightable, and trade secrets including, without limitation, technical data and know-how relating to the business of the Corporation or any Affiliate, or any of their suppliers, customers, agents, distributors, shareholders or management, including (but not limited to) business plans, pricing strategies, financial information, patent rights, patent applications, information concerning tenders and potential contracts, information concerning proposed product ranges, product development information, employee and salary information, research and development activities or manufacturing methods that the Participant creates, develops, receives, obtains or has knowledge of in connection with the Participant’s employment, and all other matters which relate to the business of the Corporation or any Affiliate and in respect of which information is not readily available in the ordinary course of such business to the Corporation's Competitors, whether or not such information (if in anything other than oral form) is marked confidential. “Competitor,” for purposes of this Section 19, means a person or entity who engages in a business that is the same or substantially the same as any aspect of the Business of the Corporation. “Business of the Corporation,” for purposes of this Section 19, is the development, production, sales and/or marketing of (i) health and hygiene products and related apparel; (ii) washroom and workplace protective and safety products; (iii) any product for which the Participant had development, marketing, innovation/technology (R&amp;D), distribution, sales, administrative, operational/supply chain, manufacturing oversight, or other responsibilities or was provided with regular and material access to Confidential Information; and (iv) the materials, packaging and other components/subcomponents of such products including, without limitation, non-wood plants and products derived therefrom including any fibers, pulps or extracts. </w:t>
      </w:r>
    </w:p>
    <w:p>
      <w:pPr>
        <w:pStyle w:val="TextBody"/>
        <w:bidi w:val="0"/>
        <w:spacing w:lineRule="auto" w:line="288" w:before="0" w:after="240"/>
        <w:jc w:val="left"/>
        <w:rPr/>
      </w:pPr>
      <w:r>
        <w:rPr>
          <w:rFonts w:ascii="Arial;sans-serif" w:hAnsi="Arial;sans-serif"/>
          <w:b w:val="false"/>
          <w:color w:val="000000"/>
          <w:sz w:val="20"/>
        </w:rPr>
        <w:t>(c)</w:t>
      </w:r>
      <w:r>
        <w:rPr>
          <w:rFonts w:ascii="Arial;sans-serif" w:hAnsi="Arial;sans-serif"/>
          <w:b w:val="false"/>
          <w:color w:val="000000"/>
          <w:sz w:val="20"/>
          <w:u w:val="single"/>
        </w:rPr>
        <w:t>Non-Solicitation of Employees</w:t>
      </w:r>
      <w:r>
        <w:rPr>
          <w:rFonts w:ascii="Arial;sans-serif" w:hAnsi="Arial;sans-serif"/>
          <w:b w:val="false"/>
          <w:color w:val="000000"/>
          <w:sz w:val="20"/>
        </w:rPr>
        <w:t xml:space="preserve">. Subject to Section 19(i), for a period of two (2) years following the termination of employment, regardless of the reason for or the manner of termination, the Participant shall not,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or (ii) be otherwise involved in the recruitment of such person, to leave the employment of the Corporation or of any Affiliate. Furthermore, the Participant shall not for a period of two (2) years following the termination date, regardless of the reason for or the manner of termination, with respect to any person who was an employee of the Corporation or any Affiliate at the Participant’s termination date and with whom the Participant had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7665"/>
                <wp:effectExtent l="0" t="0" r="0" b="0"/>
                <wp:wrapNone/>
                <wp:docPr id="100" name="Frame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material dealings during the last two (2) years preceding the Participant’s termination date, (i) directly or indirectly induce such person to leave the employment of the Corporation or of any Affiliate to become employed by, associated with and/or form part of any business or concern, in any capacity whatsoever, of any Competitor or (ii) be otherwise involved in the recruitment of such person to become employed by, associated with and/or form part of any business or concern, in any capacity whatsoever, of any Competitor. The Participant must inform the Corporation immediately on becoming aware of any such recruitment.</w:t>
      </w:r>
    </w:p>
    <w:p>
      <w:pPr>
        <w:pStyle w:val="TextBody"/>
        <w:bidi w:val="0"/>
        <w:spacing w:lineRule="auto" w:line="288" w:before="0" w:after="240"/>
        <w:jc w:val="left"/>
        <w:rPr/>
      </w:pPr>
      <w:r>
        <w:rPr>
          <w:rFonts w:ascii="Arial;sans-serif" w:hAnsi="Arial;sans-serif"/>
          <w:b w:val="false"/>
          <w:color w:val="000000"/>
          <w:sz w:val="20"/>
        </w:rPr>
        <w:t>(d)</w:t>
      </w:r>
      <w:r>
        <w:rPr>
          <w:rFonts w:ascii="Arial;sans-serif" w:hAnsi="Arial;sans-serif"/>
          <w:b w:val="false"/>
          <w:color w:val="000000"/>
          <w:sz w:val="20"/>
          <w:u w:val="single"/>
        </w:rPr>
        <w:t>Non-Solicitation of Business</w:t>
      </w:r>
      <w:r>
        <w:rPr>
          <w:rFonts w:ascii="Arial;sans-serif" w:hAnsi="Arial;sans-serif"/>
          <w:b w:val="false"/>
          <w:color w:val="000000"/>
          <w:sz w:val="20"/>
        </w:rPr>
        <w:t>. Subject to Section 19(i), during the term of the Participant’s employment and for a period of two (2) years following the termination of employment, regardless of the reason for or the manner of termination, the Participant shall not, either directly or indirectly, on the Participant’s own behalf or on behalf of any other person, firm or company or other entity, solicit, interfere with, entice or endeavor to entice away from the Corporation or any Affiliate any Restricted Customer (as defined below), or seek to conduct Restricted Business (as defined below), or conduct Restricted Business, with any Restricted Customer and/or otherwise persuade, induce, solicit or encourage any person or entity to terminate its contractual relationship with the Corporation or any Affiliate. “Restricted Business,” for purposes of this Section 19, means any business activity carried out by the Participant for the Corporation or any Affiliate during the last two (2) years preceding the Participant’s termination date. “Restricted Customer,” for purposes of this Section 19, means any person, firm or company or other entity who was a customer or distributor of the Corporation or any Affiliate as at the Participant’s termination date, or during the last two (2) years preceding the Participant’s termination date, and (i) with whom the Participant had material contact at the Participant’s termination date or during the last two (2) years preceding the Participant’s termination date, or (ii) in respect of whom, as at the Participant’s termination date or during the last two (2) years preceding the Participant’s termination date, the Participant had Confidential Information, including any Prospective Customer. “Prospective Customer,” for purposes of this Section 19, means any person, firm or company or other entity with whom the Corporation or any Affiliate was involved in negotiations as at the Participant’s termination date or during the last two (2) years preceding the Participant’s termination date, with a view to dealing with it as a customer and/or to conclude a contractual relationship with such entity, and where such negotiations have involved more than nominal expense or time commitment, and/or with whom the Participant had contact at the Participant’s termination date or during the last two (2) years preceding the Participant’s termination date with a view to dealing with it as a customer of the Corporation or any Affiliate and/or to conclude a contractual relationship with such entity or in respect of whom, as at the Participant’s termination date or during the last two (2) years preceding the Participant’s termination date, the Participant had Confidential Information.</w:t>
      </w:r>
    </w:p>
    <w:p>
      <w:pPr>
        <w:pStyle w:val="TextBody"/>
        <w:bidi w:val="0"/>
        <w:spacing w:lineRule="auto" w:line="288" w:before="0" w:after="240"/>
        <w:jc w:val="left"/>
        <w:rPr/>
      </w:pPr>
      <w:r>
        <w:rPr>
          <w:rFonts w:ascii="Arial;sans-serif" w:hAnsi="Arial;sans-serif"/>
          <w:b w:val="false"/>
          <w:color w:val="000000"/>
          <w:sz w:val="20"/>
        </w:rPr>
        <w:t>(e)</w:t>
      </w:r>
      <w:r>
        <w:rPr>
          <w:rFonts w:ascii="Arial;sans-serif" w:hAnsi="Arial;sans-serif"/>
          <w:b w:val="false"/>
          <w:color w:val="000000"/>
          <w:sz w:val="20"/>
          <w:u w:val="single"/>
        </w:rPr>
        <w:t>Confidentiality</w:t>
      </w:r>
      <w:r>
        <w:rPr>
          <w:rFonts w:ascii="Arial;sans-serif" w:hAnsi="Arial;sans-serif"/>
          <w:b w:val="false"/>
          <w:color w:val="000000"/>
          <w:sz w:val="20"/>
        </w:rPr>
        <w:t xml:space="preserve">. Subject to Sections 19(f) and 19(i), the Participant acknowledges that the Corporation and its Affiliates continually develop Confidential Information, that the Participant may develop Confidential Information for the Corporation or its Affiliates and that the Participant may learn of Confidential Information during the course of the employment relationship. The Corporation has expended and will continue to expend substantial effort and monies in acquiring knowledge and expertise in developing goodwill in the Business of the Corporation. Participant therefore agrees as follows: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i.The Participant will comply with the policies and procedures of the Corporation for protecting Confidential Information and shall not disclose to any person or use, other than as required by applicable law or for the proper performance of the Participant’s duties and responsibilities to the Corporation and its Affiliates, any Confidential Information obtained by the Participant. </w:t>
      </w:r>
    </w:p>
    <w:p>
      <w:pPr>
        <w:pStyle w:val="TextBody"/>
        <w:bidi w:val="0"/>
        <w:spacing w:before="0" w:after="0"/>
        <w:jc w:val="left"/>
        <w:rPr/>
      </w:pPr>
      <w:r>
        <w:rPr/>
      </w:r>
    </w:p>
    <w:p>
      <w:pPr>
        <w:pStyle w:val="TextBody"/>
        <w:bidi w:val="0"/>
        <w:spacing w:lineRule="auto" w:line="288"/>
        <w:ind w:left="0" w:right="0" w:hanging="360"/>
        <w:jc w:val="left"/>
        <w:rPr>
          <w:rFonts w:ascii="Arial;sans-serif" w:hAnsi="Arial;sans-serif"/>
          <w:b w:val="false"/>
          <w:color w:val="000000"/>
          <w:sz w:val="20"/>
        </w:rPr>
      </w:pPr>
      <w:r>
        <w:rPr>
          <w:rFonts w:ascii="Arial;sans-serif" w:hAnsi="Arial;sans-serif"/>
          <w:b w:val="false"/>
          <w:color w:val="000000"/>
          <w:sz w:val="20"/>
        </w:rPr>
        <w:t xml:space="preserve">ii.The Participant understands that the restrictions set forth in this Section 19(e) shall continue to apply after the employment relationship terminates, regardless of the reason for such termination. The Participant understands and acknowledges that the Participant's obligations under this Award Agreement with regard to any particular Confidential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67665"/>
                <wp:effectExtent l="0" t="0" r="0" b="0"/>
                <wp:wrapNone/>
                <wp:docPr id="101" name="Frame1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shall commence immediately upon the Participant first having access to such Confidential Information and shall continue during and after employment with the Corporation or an Affiliate until such time as such Confidential Information has become public knowledge other than as a result of the Participant's breach of this Award Agreement or breach by those acting in concert with the Participant or on the Participant's behalf, and shall be indefinite where permitted by state and local law, and shall not continue longer than two (2) years where indefinite confidentiality provisions are not permitted. Notwithstanding, the Participant’s confidentiality obligations under this Award Agreement with regard to any trade secrets shall continue during and after the Participant 's employment by the Corporation or an Affiliate until such trade secrets are no longer trade secrets under applicable law.</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(f)</w:t>
      </w:r>
      <w:r>
        <w:rPr>
          <w:rFonts w:ascii="Arial;sans-serif" w:hAnsi="Arial;sans-serif"/>
          <w:b w:val="false"/>
          <w:color w:val="000000"/>
          <w:sz w:val="20"/>
          <w:u w:val="single"/>
        </w:rPr>
        <w:t>Protected Rights</w:t>
      </w:r>
      <w:r>
        <w:rPr>
          <w:rFonts w:ascii="Arial;sans-serif" w:hAnsi="Arial;sans-serif"/>
          <w:b w:val="false"/>
          <w:color w:val="000000"/>
          <w:sz w:val="20"/>
        </w:rPr>
        <w:t>. Notwithstanding any other provision of this Award Agreement, nothing in this Award Agreement shall restrict the Participant’s right to (i) report violations of law to law enforcement officials; (ii) give truthful testimony under oath in a judicial, administrative, or arbitral proceeding; (iii) file a charge with, make truthful statements to, cooperate with investigations by, or assist others in proceedings before state or federal governmental agencies or any other self-regulatory organization (including the U.S. Equal Employment Opportunity Commission, the National Labor Relations Board, the Financial Industry Regulatory Authority, and the U.S. Securities and Exchange Commission); (iv) speak with an attorney representing the Participant; (v) discuss the facts related to any claim of sexual assault or sexual harassment; (vi) engage in whistle-blower activity protected by the Securities Exchange Act of 1934, the Dodd-Frank Wall Street Reform and Consumer Protection Act, or any rules or regulations issued thereunder (including Rule 21F-17); (vii) file or disclose any facts necessary to receive unemployment insurance, Medicaid, or other public benefits to which the Participant may be entitled; (viii) exercise rights under Section 7 of the National Labor Relations Act, including the right to discuss terms and conditions of employment with co-workers and labor unions; or (ix) otherwise disclose information that Participant is legally entitled to disclose pursuant to applicable law, provided that the disclosure does not exceed the extent of disclosure required by law. The Participant shall promptly provide written notice of any order to disclose Confidential Information to an authorized officer of the Corporation or its Affiliates. In addition, pursuant to the Defend Trade Secrets Act of 2016, (i) the Participant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(ii) the Participant agrees and understands that individuals may disclose trade secrets in a complaint, or other document, filed in a lawsuit, or other proceeding, if such filing is made under seal; and (iii) the Participant agrees and understands that an individual who files a lawsuit alleging retaliation by the Corporation or its Affiliates for reporting a suspected violation of the law may disclose the trade secret to the attorney of the individual and use the trade secret in the court proceeding, if the individual files any document containing the trade secret under seal and does not disclose the trade secret, except pursuant to court order. For the avoidance of doubt, the Participant’s past, present or future exercise of any rights described in this Section 19(f) shall not constitute a breach of this Award Agreement.</w:t>
      </w:r>
    </w:p>
    <w:p>
      <w:pPr>
        <w:pStyle w:val="TextBody"/>
        <w:bidi w:val="0"/>
        <w:spacing w:lineRule="auto" w:line="288" w:before="0" w:after="240"/>
        <w:jc w:val="left"/>
        <w:rPr/>
      </w:pPr>
      <w:r>
        <w:rPr>
          <w:rFonts w:ascii="Arial;sans-serif" w:hAnsi="Arial;sans-serif"/>
          <w:b w:val="false"/>
          <w:color w:val="000000"/>
          <w:sz w:val="20"/>
        </w:rPr>
        <w:t>(g)</w:t>
      </w:r>
      <w:r>
        <w:rPr>
          <w:rFonts w:ascii="Arial;sans-serif" w:hAnsi="Arial;sans-serif"/>
          <w:b w:val="false"/>
          <w:color w:val="000000"/>
          <w:sz w:val="20"/>
          <w:u w:val="single"/>
        </w:rPr>
        <w:t>Business Ideas</w:t>
      </w:r>
      <w:r>
        <w:rPr>
          <w:rFonts w:ascii="Arial;sans-serif" w:hAnsi="Arial;sans-serif"/>
          <w:b w:val="false"/>
          <w:color w:val="000000"/>
          <w:sz w:val="20"/>
        </w:rPr>
        <w:t xml:space="preserve">. Subject to Section 19(i), the Participant acknowledges that the Corporation owns all rights in all Business Ideas (as defined below). For the avoidance of doubt, in the event an assignment is needed during the term of the Participant's employment with the Corporation or any Affiliate and at any time following the termination of employment, the Participant hereby assigns without further action being required to the Corporation all Business Ideas. The Participant shall promptly execute all documents which the Corporation may reasonably require to perfect, maintain and protect its patent, copyright, trade secret, trademark and any and all other rights to such Business Ideas throughout the world, and shall provide other reasonable assistance and cooperation as may be necessary for the Corporation to investigate, perfect, maintain and protect those rights, including assistance and cooperation with litigation relating to any Business Ideas. Even after the Participant's employment with the Corporation or any Affiliate terminates, the Participant will continue to be reasonably available to assist the Corporation with its efforts to investigate, perfect, maintain and protect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67665"/>
                <wp:effectExtent l="0" t="0" r="0" b="0"/>
                <wp:wrapNone/>
                <wp:docPr id="102" name="Frame1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rights in any Business Ideas, including assistance with litigation relating to any Business Ideas. “Business Ideas” as used in this Award Agreement means all ideas, concepts, innovations, inventions, strategy, data, developments, and works of authorship, whether or not patentable, both technical and business, which the Participant originates, conceives or develops, either alone or in conjunction with others, at any time during the Participant's employment with the Corporation or any Affiliate, except those which satisfy all three of the following criteria: (i) unrelated to the Corporation’s business; (ii) not originated, conceived or developed during the Participant's working hours; and (iii) not originated, conceived or developed by use of any Corporation property such as tools, supplies, equipment, materials, facilities or other Corporation employees. Any idea, concept, innovation, invention, strategy, data, development or work of authorship that the Participant originates, conceives or develops, through the use of Corporation Confidential Information, at any time within six (6) months after the Participant's employment with the Corporation or any Affiliate terminates (for any reason) will be presumed to be a Business Idea unless the Participant can prove otherwise by clear and convincing evidence.</w:t>
      </w:r>
    </w:p>
    <w:p>
      <w:pPr>
        <w:pStyle w:val="TextBody"/>
        <w:bidi w:val="0"/>
        <w:spacing w:lineRule="auto" w:line="288" w:before="0" w:after="240"/>
        <w:jc w:val="left"/>
        <w:rPr/>
      </w:pPr>
      <w:r>
        <w:rPr>
          <w:rFonts w:ascii="Arial;sans-serif" w:hAnsi="Arial;sans-serif"/>
          <w:b w:val="false"/>
          <w:color w:val="000000"/>
          <w:sz w:val="20"/>
        </w:rPr>
        <w:t>(h)</w:t>
      </w:r>
      <w:r>
        <w:rPr>
          <w:rFonts w:ascii="Arial;sans-serif" w:hAnsi="Arial;sans-serif"/>
          <w:b w:val="false"/>
          <w:color w:val="000000"/>
          <w:sz w:val="20"/>
          <w:u w:val="single"/>
        </w:rPr>
        <w:t>Rights to Photographs, Videos, Recordings, and Electronic Images/Waiver of Publicity Rights</w:t>
      </w:r>
      <w:r>
        <w:rPr>
          <w:rFonts w:ascii="Arial;sans-serif" w:hAnsi="Arial;sans-serif"/>
          <w:b w:val="false"/>
          <w:color w:val="000000"/>
          <w:sz w:val="20"/>
        </w:rPr>
        <w:t>. Subject to Section 19(i), the Participant agrees that the Corporation and its licensee may, and are entitled to, use, exploit, publish, and copyright photographs, videos, audio, and other recordings and electronic images, icons, or figures of or representing Participant (collectively, the “Performance”) relating in any way to the Business of the Corporation that are made during the term of the Participant’s employment (and any derivative works made thereafter), and that the Corporation shall have all of Participant’s rights, title, and interest (if any) in, to, and under any such Performance including, without limitation, privacy, copyright, moral right, and rights of publicity. The Corporation and its licensees may use such Performance without further compensation or any other additional consideration, for any advertising, publishing, social media, or other business or commercial purposes on behalf of the Company both during or after the term of the Participant’s employment.</w:t>
      </w:r>
    </w:p>
    <w:p>
      <w:pPr>
        <w:pStyle w:val="TextBody"/>
        <w:bidi w:val="0"/>
        <w:spacing w:lineRule="auto" w:line="288" w:before="0" w:after="240"/>
        <w:jc w:val="left"/>
        <w:rPr/>
      </w:pPr>
      <w:r>
        <w:rPr>
          <w:rFonts w:ascii="Arial;sans-serif" w:hAnsi="Arial;sans-serif"/>
          <w:b w:val="false"/>
          <w:color w:val="000000"/>
          <w:sz w:val="20"/>
        </w:rPr>
        <w:t>(i)</w:t>
      </w:r>
      <w:r>
        <w:rPr>
          <w:rFonts w:ascii="Arial;sans-serif" w:hAnsi="Arial;sans-serif"/>
          <w:b w:val="false"/>
          <w:color w:val="000000"/>
          <w:sz w:val="20"/>
          <w:u w:val="single"/>
        </w:rPr>
        <w:t>State-Specific Provisions</w:t>
      </w:r>
      <w:r>
        <w:rPr>
          <w:rFonts w:ascii="Arial;sans-serif" w:hAnsi="Arial;sans-serif"/>
          <w:b w:val="false"/>
          <w:color w:val="000000"/>
          <w:sz w:val="20"/>
        </w:rPr>
        <w:t xml:space="preserve">.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i.If the Participant lives or works in </w:t>
      </w:r>
      <w:r>
        <w:rPr>
          <w:rFonts w:ascii="Arial;sans-serif" w:hAnsi="Arial;sans-serif"/>
          <w:b/>
          <w:color w:val="000000"/>
          <w:sz w:val="20"/>
        </w:rPr>
        <w:t xml:space="preserve">California </w:t>
      </w:r>
      <w:r>
        <w:rPr>
          <w:rFonts w:ascii="Arial;sans-serif" w:hAnsi="Arial;sans-serif"/>
          <w:b w:val="false"/>
          <w:color w:val="000000"/>
          <w:sz w:val="20"/>
        </w:rPr>
        <w:t xml:space="preserve">at the time of or after termination of employment, (A) Section 19(b), Section 19(c), and Section 19(d) do not apply after the Participant’s employment with the Corporation or its Affiliates ends, and (B) the Participant and the Corporation and its Affiliates agree to the exclusive jurisdiction of the state and federal courts of California for any dispute arising under this Agreement and that this Agreement shall be governed by California law.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ii.If the Participant primarily lives or works in </w:t>
      </w:r>
      <w:r>
        <w:rPr>
          <w:rFonts w:ascii="Arial;sans-serif" w:hAnsi="Arial;sans-serif"/>
          <w:b/>
          <w:color w:val="000000"/>
          <w:sz w:val="20"/>
        </w:rPr>
        <w:t>Colorado</w:t>
      </w:r>
      <w:r>
        <w:rPr>
          <w:color w:val="000000"/>
        </w:rPr>
        <w:t xml:space="preserve"> </w:t>
      </w:r>
      <w:r>
        <w:rPr>
          <w:rFonts w:ascii="Arial;sans-serif" w:hAnsi="Arial;sans-serif"/>
          <w:b w:val="false"/>
          <w:color w:val="000000"/>
          <w:sz w:val="20"/>
        </w:rPr>
        <w:t xml:space="preserve">at the time of termination of employment, the Participant and the Corporation and its Affiliates agree to the exclusive jurisdiction of the state and federal courts of Colorado for any dispute arising under Section 19(b) or Section 19(d) and that those Sections shall be governed by Colorado law.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iii.If the Participant’s principal place of employment is </w:t>
      </w:r>
      <w:r>
        <w:rPr>
          <w:rFonts w:ascii="Arial;sans-serif" w:hAnsi="Arial;sans-serif"/>
          <w:b/>
          <w:color w:val="000000"/>
          <w:sz w:val="20"/>
        </w:rPr>
        <w:t>Minnesota</w:t>
      </w:r>
      <w:r>
        <w:rPr>
          <w:rFonts w:ascii="Arial;sans-serif" w:hAnsi="Arial;sans-serif"/>
          <w:b w:val="false"/>
          <w:color w:val="000000"/>
          <w:sz w:val="20"/>
        </w:rPr>
        <w:t>, Section 19(b) does not apply after the Participant’s employment with the Corporation or its Affiliates ends.</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iv.If the Participant’s principal place of employment is </w:t>
      </w:r>
      <w:r>
        <w:rPr>
          <w:rFonts w:ascii="Arial;sans-serif" w:hAnsi="Arial;sans-serif"/>
          <w:b/>
          <w:color w:val="000000"/>
          <w:sz w:val="20"/>
        </w:rPr>
        <w:t>North Dakota</w:t>
      </w:r>
      <w:r>
        <w:rPr>
          <w:rFonts w:ascii="Arial;sans-serif" w:hAnsi="Arial;sans-serif"/>
          <w:b w:val="false"/>
          <w:color w:val="000000"/>
          <w:sz w:val="20"/>
        </w:rPr>
        <w:t>, Section 19(b) and Section 19(d) do not apply after the Participant’s employment with the Corporation or its Affiliates ends.</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v.If the Participant’s principal place of employment is </w:t>
      </w:r>
      <w:r>
        <w:rPr>
          <w:rFonts w:ascii="Arial;sans-serif" w:hAnsi="Arial;sans-serif"/>
          <w:b/>
          <w:color w:val="000000"/>
          <w:sz w:val="20"/>
        </w:rPr>
        <w:t>Oklahoma</w:t>
      </w:r>
      <w:r>
        <w:rPr>
          <w:rFonts w:ascii="Arial;sans-serif" w:hAnsi="Arial;sans-serif"/>
          <w:b w:val="false"/>
          <w:color w:val="000000"/>
          <w:sz w:val="20"/>
        </w:rPr>
        <w:t>, Section 19(b) and Section 19(d) do not apply after the Participant’s employment with the Corporation or its Affiliates ends.</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vi.If the Participant’s principal place of employment is </w:t>
      </w:r>
      <w:r>
        <w:rPr>
          <w:rFonts w:ascii="Arial;sans-serif" w:hAnsi="Arial;sans-serif"/>
          <w:b/>
          <w:color w:val="000000"/>
          <w:sz w:val="20"/>
        </w:rPr>
        <w:t>Washington</w:t>
      </w:r>
      <w:r>
        <w:rPr>
          <w:rFonts w:ascii="Arial;sans-serif" w:hAnsi="Arial;sans-serif"/>
          <w:b w:val="false"/>
          <w:color w:val="000000"/>
          <w:sz w:val="20"/>
        </w:rPr>
        <w:t xml:space="preserve">, the Participant and the Corporation and its Affiliates agree to the exclusive jurisdiction of the state and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67665"/>
                <wp:effectExtent l="0" t="0" r="0" b="0"/>
                <wp:wrapNone/>
                <wp:docPr id="103" name="Frame1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courts of Washington for any dispute arising under Section 19(b) and that Section 19(b) shall be governed by Washington law.</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vii.If the Participant’s principal place of employment is a state listed the United States sub-section of </w:t>
      </w:r>
      <w:r>
        <w:rPr>
          <w:rFonts w:ascii="Arial;sans-serif" w:hAnsi="Arial;sans-serif"/>
          <w:b/>
          <w:i/>
          <w:color w:val="000000"/>
          <w:sz w:val="20"/>
        </w:rPr>
        <w:t>Appendix A</w:t>
      </w:r>
      <w:r>
        <w:rPr>
          <w:rFonts w:ascii="Arial;sans-serif" w:hAnsi="Arial;sans-serif"/>
          <w:b w:val="false"/>
          <w:color w:val="000000"/>
          <w:sz w:val="20"/>
        </w:rPr>
        <w:t xml:space="preserve">, then the applicable provision(s) in </w:t>
      </w:r>
      <w:r>
        <w:rPr>
          <w:rFonts w:ascii="Arial;sans-serif" w:hAnsi="Arial;sans-serif"/>
          <w:b/>
          <w:i/>
          <w:color w:val="000000"/>
          <w:sz w:val="20"/>
        </w:rPr>
        <w:t>Appendix A</w:t>
      </w:r>
      <w:r>
        <w:rPr>
          <w:color w:val="000000"/>
        </w:rPr>
        <w:t xml:space="preserve"> </w:t>
      </w:r>
      <w:r>
        <w:rPr>
          <w:rFonts w:ascii="Arial;sans-serif" w:hAnsi="Arial;sans-serif"/>
          <w:b w:val="false"/>
          <w:color w:val="000000"/>
          <w:sz w:val="20"/>
        </w:rPr>
        <w:t>shall also apply.</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viii.This Award Agreement shall not require the Participant to assign the Participant’s rights in any invention that qualifies fully for the protection of a state law applicable to the Participant that governs assignment of inventions, such as California Labor Code § 2870, which provides: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w:t>
      </w:r>
    </w:p>
    <w:p>
      <w:pPr>
        <w:pStyle w:val="TextBody"/>
        <w:bidi w:val="0"/>
        <w:spacing w:lineRule="auto" w:line="288" w:before="0" w:after="120"/>
        <w:jc w:val="both"/>
        <w:rPr/>
      </w:pPr>
      <w:r>
        <w:rPr>
          <w:rFonts w:ascii="Arial;sans-serif" w:hAnsi="Arial;sans-serif"/>
          <w:b w:val="false"/>
          <w:i/>
          <w:color w:val="000000"/>
          <w:sz w:val="20"/>
        </w:rPr>
        <w:t>(b) To the extent a provision in an employment agreement purports to require an employee to assign an invention otherwise excluded from being required to be assigned under subdivision (a), the provision is against the public policy of this state and is unenforceable</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val="false"/>
          <w:color w:val="000000"/>
          <w:sz w:val="20"/>
        </w:rPr>
        <w:t>(j)</w:t>
      </w:r>
      <w:r>
        <w:rPr>
          <w:rFonts w:ascii="Arial;sans-serif" w:hAnsi="Arial;sans-serif"/>
          <w:b w:val="false"/>
          <w:color w:val="000000"/>
          <w:sz w:val="20"/>
          <w:u w:val="single"/>
        </w:rPr>
        <w:t>Notification Requirement</w:t>
      </w:r>
      <w:r>
        <w:rPr>
          <w:rFonts w:ascii="Arial;sans-serif" w:hAnsi="Arial;sans-serif"/>
          <w:b w:val="false"/>
          <w:color w:val="000000"/>
          <w:sz w:val="20"/>
        </w:rPr>
        <w:t xml:space="preserve">. During the term of the Participant's employment with the Corporation or any Affiliate and for the period of two (2) years following termination of the Participant’s employment with the Corporation or an Affiliate, regardless of the reason for or the manner of termination, the Participant agrees to notify the Corporation in writing prior to accepting new employment, or engaging in any other activity which may violate this Award Agreement, and the Participant agrees to provide in such notice information concerning the anticipated new employment or activity, including, but not limited to: name of new employer; address of new employer; name of new team leader; job title; and scope and responsibilities of the new position. The Participant recognizes that such duty of notification is not affected by the Participant’s belief that such employment may perhaps not violate this Award Agreement or otherwise be unfairly competitive with the Corporation or an Affiliate. The Participant’s written notice should be addressed to the Corporation's General Counsel with subject line Non-Competition Agreement, via email to </w:t>
      </w:r>
      <w:r>
        <w:rPr>
          <w:rFonts w:ascii="Arial;sans-serif" w:hAnsi="Arial;sans-serif"/>
          <w:b/>
          <w:color w:val="026DCE"/>
          <w:sz w:val="20"/>
        </w:rPr>
        <w:t>Noncompete.Notification@kcc.com</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val="false"/>
          <w:color w:val="000000"/>
          <w:sz w:val="20"/>
        </w:rPr>
        <w:t>(k)</w:t>
      </w:r>
      <w:r>
        <w:rPr>
          <w:rFonts w:ascii="Arial;sans-serif" w:hAnsi="Arial;sans-serif"/>
          <w:b w:val="false"/>
          <w:color w:val="000000"/>
          <w:sz w:val="20"/>
          <w:u w:val="single"/>
        </w:rPr>
        <w:t>Other Notification</w:t>
      </w:r>
      <w:r>
        <w:rPr>
          <w:rFonts w:ascii="Arial;sans-serif" w:hAnsi="Arial;sans-serif"/>
          <w:b w:val="false"/>
          <w:color w:val="000000"/>
          <w:sz w:val="20"/>
        </w:rPr>
        <w:t xml:space="preserve">. During the period of two (2) years following termination of the Participant’s employment with the Corporation or an Affiliate, the Participant shall provide a copy of Section 19 of this Award Agreement to each new employer before starting in any new employment. The Participant agrees that the Corporation may notify any third party about the Participant’s obligations under Section 19 of this Award Agreement until such obligations are fulfilled. </w:t>
      </w:r>
    </w:p>
    <w:p>
      <w:pPr>
        <w:pStyle w:val="TextBody"/>
        <w:bidi w:val="0"/>
        <w:spacing w:lineRule="auto" w:line="288" w:before="0" w:after="240"/>
        <w:jc w:val="left"/>
        <w:rPr/>
      </w:pPr>
      <w:r>
        <w:rPr>
          <w:rFonts w:ascii="Arial;sans-serif" w:hAnsi="Arial;sans-serif"/>
          <w:b w:val="false"/>
          <w:color w:val="000000"/>
          <w:sz w:val="20"/>
        </w:rPr>
        <w:t>(l)</w:t>
      </w:r>
      <w:r>
        <w:rPr>
          <w:rFonts w:ascii="Arial;sans-serif" w:hAnsi="Arial;sans-serif"/>
          <w:b w:val="false"/>
          <w:color w:val="000000"/>
          <w:sz w:val="20"/>
          <w:u w:val="single"/>
        </w:rPr>
        <w:t>Damages and Remedies</w:t>
      </w:r>
      <w:r>
        <w:rPr>
          <w:rFonts w:ascii="Arial;sans-serif" w:hAnsi="Arial;sans-serif"/>
          <w:b w:val="false"/>
          <w:color w:val="000000"/>
          <w:sz w:val="20"/>
        </w:rPr>
        <w:t>. In the event of an anticipated, threatened, or actual breach by the Participant of any of the provisions of this Section 19, the Corporation and its Affiliates shall be entitled to all damages available as a matter of law. The Participant acknowledges and agrees that any damages would not be an adequate remedy to compensate the Corporation or an Affiliate for the harm to the business of the Corporation or the Affiliate and, in such event, agrees that the Corporation or the Affiliate, as applicable, shall be entitled to a temporary restraining order and to injunctive relief to prevent or terminate such anticipated, threatened, or actual breach, provided, however, that nothing in this Award Agreement shall be construed to limit any additional relief to which the Corporation or the Affiliate may be entitled or the damages otherwise recoverable by the Corporation or the Affiliate in any such event.</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7665"/>
                <wp:effectExtent l="0" t="0" r="0" b="0"/>
                <wp:wrapNone/>
                <wp:docPr id="104" name="Frame1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(m)</w:t>
      </w:r>
      <w:r>
        <w:rPr>
          <w:rFonts w:ascii="Arial;sans-serif" w:hAnsi="Arial;sans-serif"/>
          <w:b w:val="false"/>
          <w:color w:val="000000"/>
          <w:sz w:val="20"/>
          <w:u w:val="single"/>
        </w:rPr>
        <w:t>Forfeiture of Award</w:t>
      </w:r>
      <w:r>
        <w:rPr>
          <w:rFonts w:ascii="Arial;sans-serif" w:hAnsi="Arial;sans-serif"/>
          <w:b w:val="false"/>
          <w:color w:val="000000"/>
          <w:sz w:val="20"/>
        </w:rPr>
        <w:t xml:space="preserve">. In addition to the Corporation's or an Affiliate's ability to pursue injunctive relief to avoid irreparable harm pursuant to Section 19(l), in the event of an actual breach by the Participant of any of the provisions of this Section 19 or of any stand-alone restrictive covenant agreement, the Corporation also is entitled to: (i) require the Participant to repay to the Corporation, immediately upon demand, an amount equal to the value of the shares of Common Stock issued on settlement of the RSUs (less $1,000); and/or (ii) forfeit any portion of the Award that has not yet vested at the time the Corporation becomes aware of the breach. </w:t>
      </w:r>
    </w:p>
    <w:p>
      <w:pPr>
        <w:pStyle w:val="TextBody"/>
        <w:bidi w:val="0"/>
        <w:spacing w:lineRule="auto" w:line="288" w:before="0" w:after="240"/>
        <w:jc w:val="left"/>
        <w:rPr/>
      </w:pPr>
      <w:r>
        <w:rPr>
          <w:rFonts w:ascii="Arial;sans-serif" w:hAnsi="Arial;sans-serif"/>
          <w:b w:val="false"/>
          <w:color w:val="000000"/>
          <w:sz w:val="20"/>
        </w:rPr>
        <w:t>(n)</w:t>
      </w:r>
      <w:r>
        <w:rPr>
          <w:rFonts w:ascii="Arial;sans-serif" w:hAnsi="Arial;sans-serif"/>
          <w:b w:val="false"/>
          <w:color w:val="000000"/>
          <w:sz w:val="20"/>
          <w:u w:val="single"/>
        </w:rPr>
        <w:t>Reimbursement of Fees</w:t>
      </w:r>
      <w:r>
        <w:rPr>
          <w:rFonts w:ascii="Arial;sans-serif" w:hAnsi="Arial;sans-serif"/>
          <w:b w:val="false"/>
          <w:color w:val="000000"/>
          <w:sz w:val="20"/>
        </w:rPr>
        <w:t>. If the Participant violates any of the provisions of this Section 19, or any duty of loyalty or confidentiality imposed by law, in addition to any damages that the Participant may be required to pay, the Participant understands and agrees that the Participant shall be required to reimburse the Corporation for all its costs incurred to enforce this Award Agreement, including but not limited to, all attorneys’ fees.</w:t>
      </w:r>
    </w:p>
    <w:p>
      <w:pPr>
        <w:pStyle w:val="TextBody"/>
        <w:bidi w:val="0"/>
        <w:spacing w:lineRule="auto" w:line="288" w:before="0" w:after="240"/>
        <w:jc w:val="left"/>
        <w:rPr/>
      </w:pPr>
      <w:r>
        <w:rPr>
          <w:rFonts w:ascii="Arial;sans-serif" w:hAnsi="Arial;sans-serif"/>
          <w:b w:val="false"/>
          <w:color w:val="000000"/>
          <w:sz w:val="20"/>
        </w:rPr>
        <w:t>(o)</w:t>
      </w:r>
      <w:r>
        <w:rPr>
          <w:rFonts w:ascii="Arial;sans-serif" w:hAnsi="Arial;sans-serif"/>
          <w:b w:val="false"/>
          <w:color w:val="000000"/>
          <w:sz w:val="20"/>
          <w:u w:val="single"/>
        </w:rPr>
        <w:t>Successors and Beneficiaries</w:t>
      </w:r>
      <w:r>
        <w:rPr>
          <w:rFonts w:ascii="Arial;sans-serif" w:hAnsi="Arial;sans-serif"/>
          <w:b w:val="false"/>
          <w:color w:val="000000"/>
          <w:sz w:val="20"/>
        </w:rPr>
        <w:t>. For purposes of this Section 19, the Corporation and each of its Affiliates shall be deemed to be third-party beneficiaries with the right to seek enforcement of any of the provisions of this Section 19. Further, for purposes of this Section 19, references to acting directly or indirectly include acting jointly with or through another person.</w:t>
      </w:r>
    </w:p>
    <w:p>
      <w:pPr>
        <w:pStyle w:val="TextBody"/>
        <w:bidi w:val="0"/>
        <w:spacing w:lineRule="auto" w:line="288" w:before="0" w:after="240"/>
        <w:jc w:val="left"/>
        <w:rPr/>
      </w:pPr>
      <w:r>
        <w:rPr>
          <w:rFonts w:ascii="Arial;sans-serif" w:hAnsi="Arial;sans-serif"/>
          <w:b w:val="false"/>
          <w:color w:val="000000"/>
          <w:sz w:val="20"/>
        </w:rPr>
        <w:t>(p)</w:t>
      </w:r>
      <w:r>
        <w:rPr>
          <w:rFonts w:ascii="Arial;sans-serif" w:hAnsi="Arial;sans-serif"/>
          <w:b w:val="false"/>
          <w:color w:val="000000"/>
          <w:sz w:val="20"/>
          <w:u w:val="single"/>
        </w:rPr>
        <w:t>Prior Restrictive Covenants</w:t>
      </w:r>
      <w:r>
        <w:rPr>
          <w:rFonts w:ascii="Arial;sans-serif" w:hAnsi="Arial;sans-serif"/>
          <w:b w:val="false"/>
          <w:color w:val="000000"/>
          <w:sz w:val="20"/>
        </w:rPr>
        <w:t>. Participant acknowledges and agrees that Participant is not a party to any agreement with any other company containing a confidentiality or noncompetition provision or other restriction that relates to the Business of the Corporation which Participant has not already disclosed to the Corporation or its Affiliates in writing. Participant understands that Participant is prohibited from disclosing or using during Participant’s employment with the Corporation any confidential information or trade secrets that Participant acquired from any previous employer.</w:t>
      </w:r>
    </w:p>
    <w:p>
      <w:pPr>
        <w:pStyle w:val="TextBody"/>
        <w:bidi w:val="0"/>
        <w:spacing w:lineRule="auto" w:line="288" w:before="0" w:after="240"/>
        <w:jc w:val="left"/>
        <w:rPr/>
      </w:pPr>
      <w:r>
        <w:rPr>
          <w:rFonts w:ascii="Arial;sans-serif" w:hAnsi="Arial;sans-serif"/>
          <w:b w:val="false"/>
          <w:color w:val="000000"/>
          <w:sz w:val="20"/>
        </w:rPr>
        <w:t>(q)</w:t>
      </w:r>
      <w:r>
        <w:rPr>
          <w:rFonts w:ascii="Arial;sans-serif" w:hAnsi="Arial;sans-serif"/>
          <w:b w:val="false"/>
          <w:color w:val="000000"/>
          <w:sz w:val="20"/>
          <w:u w:val="single"/>
        </w:rPr>
        <w:t>Modification</w:t>
      </w:r>
      <w:r>
        <w:rPr>
          <w:rFonts w:ascii="Arial;sans-serif" w:hAnsi="Arial;sans-serif"/>
          <w:b w:val="false"/>
          <w:color w:val="000000"/>
          <w:sz w:val="20"/>
        </w:rPr>
        <w:t>. No waiver, modification, or amendment of any term of this Award Agreement shall be valid unless made in writing specifying such waiver, modification, or amendment, and signed by an officer of the Corporation. Notwithstanding the foregoing, no waiver, modification, or amendment of this Award Agreement shall be effective if it would cause this Award or any payment or benefit hereunder to be subject to, or fail to comply with, Section 409A of the Code.</w:t>
      </w:r>
    </w:p>
    <w:p>
      <w:pPr>
        <w:pStyle w:val="TextBody"/>
        <w:bidi w:val="0"/>
        <w:spacing w:lineRule="auto" w:line="288" w:before="0" w:after="240"/>
        <w:jc w:val="left"/>
        <w:rPr/>
      </w:pPr>
      <w:r>
        <w:rPr>
          <w:rFonts w:ascii="Arial;sans-serif" w:hAnsi="Arial;sans-serif"/>
          <w:b w:val="false"/>
          <w:color w:val="000000"/>
          <w:sz w:val="20"/>
        </w:rPr>
        <w:t>(r)</w:t>
      </w:r>
      <w:r>
        <w:rPr>
          <w:rFonts w:ascii="Arial;sans-serif" w:hAnsi="Arial;sans-serif"/>
          <w:b w:val="false"/>
          <w:color w:val="000000"/>
          <w:sz w:val="20"/>
          <w:u w:val="single"/>
        </w:rPr>
        <w:t>Severability and Reformation</w:t>
      </w:r>
      <w:r>
        <w:rPr>
          <w:rFonts w:ascii="Arial;sans-serif" w:hAnsi="Arial;sans-serif"/>
          <w:b w:val="false"/>
          <w:color w:val="000000"/>
          <w:sz w:val="20"/>
        </w:rPr>
        <w:t xml:space="preserve">. If any provision of this Section 19 is held to be invalid, illegal or unenforceable in any respect by a court of competent jurisdiction, such provision shall be deemed to be severed from the Award Agreement and such invalidity, illegality or unenforceability will not affect any other provision of the Award Agreement, all of which shall remain valid and enforceable. Notwithstanding the foregoing, if a court of competent jurisdiction determines that the covenants contained in this Section 19 are unenforceable because they are overbroad in some respect, to the full extent permitted by applicable law, the court should sever, revise or reform any aspect of this Section 19 so as to make the scope of such Section 19 as broad as reasonable under applicable law and enforce this Section 19 as so modified. Without limiting the foregoing, if a court, government agency or other body of competent jurisdiction establishes or the Corporation otherwise determines that the covenants contained in this Award Agreement are unenforceable and/or in violation of applicable rules, the Corporation reserves the right to unilaterally amend the Award Agreement so as to comply with applicable rules. </w:t>
      </w:r>
    </w:p>
    <w:p>
      <w:pPr>
        <w:pStyle w:val="TextBody"/>
        <w:bidi w:val="0"/>
        <w:spacing w:lineRule="auto" w:line="288" w:before="0" w:after="240"/>
        <w:jc w:val="left"/>
        <w:rPr/>
      </w:pPr>
      <w:r>
        <w:rPr>
          <w:rFonts w:ascii="Arial;sans-serif" w:hAnsi="Arial;sans-serif"/>
          <w:b w:val="false"/>
          <w:color w:val="000000"/>
          <w:sz w:val="20"/>
        </w:rPr>
        <w:t>(s)</w:t>
      </w:r>
      <w:r>
        <w:rPr>
          <w:rFonts w:ascii="Arial;sans-serif" w:hAnsi="Arial;sans-serif"/>
          <w:b w:val="false"/>
          <w:color w:val="000000"/>
          <w:sz w:val="20"/>
          <w:u w:val="single"/>
        </w:rPr>
        <w:t>Integration</w:t>
      </w:r>
      <w:r>
        <w:rPr>
          <w:rFonts w:ascii="Arial;sans-serif" w:hAnsi="Arial;sans-serif"/>
          <w:b w:val="false"/>
          <w:color w:val="000000"/>
          <w:sz w:val="20"/>
        </w:rPr>
        <w:t>. All prior and existing non-compete, non-solicitation, confidentiality and business ideas covenants that the Participant may have with the Corporation or any Affiliate, including but not limited to any restrictive covenants that the Participant may have in any separate agreements with the Corporation or any Affiliate (“non-local restrictive covenants”), whether or not such non-local restrictive covenants have been agreed to before or after execution of this Award Agreement, shall continue to apply to the Participant, unless otherwise determined by the Corporation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7665"/>
                <wp:effectExtent l="0" t="0" r="0" b="0"/>
                <wp:wrapNone/>
                <wp:docPr id="105" name="Frame1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(t)</w:t>
      </w:r>
      <w:r>
        <w:rPr>
          <w:rFonts w:ascii="Arial;sans-serif" w:hAnsi="Arial;sans-serif"/>
          <w:b w:val="false"/>
          <w:color w:val="000000"/>
          <w:sz w:val="20"/>
          <w:u w:val="single"/>
        </w:rPr>
        <w:t>Advice to Seek Independent Counsel</w:t>
      </w:r>
      <w:r>
        <w:rPr>
          <w:rFonts w:ascii="Arial;sans-serif" w:hAnsi="Arial;sans-serif"/>
          <w:b w:val="false"/>
          <w:color w:val="000000"/>
          <w:sz w:val="20"/>
        </w:rPr>
        <w:t>. The Participant is hereby advised in writing to consult with an attorney before entering into the covenants outlined in this Section 19. The Participant acknowledges that prior to acceptance of this Award Agreement, the Participant has been advised by the Corporation of the Participant's right to seek independent advice from an attorney of the Participant's own selection regarding this Award Agreement, including the restraints imposed upon the Participant pursuant to this Section 19. The Participant acknowledges that the Participant has entered into this Award Agreement knowingly and voluntarily and with full knowledge and understanding of the provisions of this Award Agreement after being given the opportunity to consult with counsel. The Participant further represents that in entering into this Award Agreement, the Participant is not relying on any statements or representations made by any of the Corporations' directors, officers, employees or agents which are not expressly set forth herein, and that the Participant is relying only upon the Participant's own judgment and any advice provided by the Participant's attorney. The Participant acknowledges he or she has been provided at minimum 14 calendar days to review the provisions contained herein.</w:t>
      </w:r>
    </w:p>
    <w:p>
      <w:pPr>
        <w:pStyle w:val="TextBody"/>
        <w:bidi w:val="0"/>
        <w:spacing w:lineRule="auto" w:line="288" w:before="0" w:after="240"/>
        <w:jc w:val="left"/>
        <w:rPr/>
      </w:pPr>
      <w:r>
        <w:rPr>
          <w:rFonts w:ascii="Arial;sans-serif" w:hAnsi="Arial;sans-serif"/>
          <w:b w:val="false"/>
          <w:color w:val="000000"/>
          <w:sz w:val="20"/>
        </w:rPr>
        <w:t>(u)</w:t>
      </w:r>
      <w:r>
        <w:rPr>
          <w:rFonts w:ascii="Arial;sans-serif" w:hAnsi="Arial;sans-serif"/>
          <w:b w:val="false"/>
          <w:color w:val="000000"/>
          <w:sz w:val="20"/>
          <w:u w:val="single"/>
        </w:rPr>
        <w:t>Tolling.</w:t>
      </w:r>
      <w:r>
        <w:rPr>
          <w:color w:val="000000"/>
        </w:rPr>
        <w:t xml:space="preserve"> </w:t>
      </w:r>
      <w:r>
        <w:rPr>
          <w:rFonts w:ascii="Arial;sans-serif" w:hAnsi="Arial;sans-serif"/>
          <w:b w:val="false"/>
          <w:color w:val="000000"/>
          <w:sz w:val="20"/>
        </w:rPr>
        <w:t>Subject to Section 19(i), if the Participant violates any of the restrictions of this Section 19, the period for all such restrictions shall automatically be extended by the period the Participant was in violation of them.</w:t>
      </w:r>
    </w:p>
    <w:p>
      <w:pPr>
        <w:pStyle w:val="TextBody"/>
        <w:bidi w:val="0"/>
        <w:spacing w:lineRule="auto" w:line="288" w:before="0" w:after="240"/>
        <w:jc w:val="left"/>
        <w:rPr/>
      </w:pPr>
      <w:r>
        <w:rPr>
          <w:rFonts w:ascii="Arial;sans-serif" w:hAnsi="Arial;sans-serif"/>
          <w:b w:val="false"/>
          <w:color w:val="000000"/>
          <w:sz w:val="20"/>
        </w:rPr>
        <w:t>(v)</w:t>
      </w:r>
      <w:r>
        <w:rPr>
          <w:rFonts w:ascii="Arial;sans-serif" w:hAnsi="Arial;sans-serif"/>
          <w:b w:val="false"/>
          <w:color w:val="000000"/>
          <w:sz w:val="20"/>
          <w:u w:val="single"/>
        </w:rPr>
        <w:t>Acknowledgements.</w:t>
      </w:r>
      <w:r>
        <w:rPr>
          <w:color w:val="000000"/>
        </w:rPr>
        <w:t xml:space="preserve"> </w:t>
      </w:r>
      <w:r>
        <w:rPr>
          <w:rFonts w:ascii="Arial;sans-serif" w:hAnsi="Arial;sans-serif"/>
          <w:b w:val="false"/>
          <w:color w:val="000000"/>
          <w:sz w:val="20"/>
        </w:rPr>
        <w:t>The Participant acknowledges and agrees that employment with the Corporation or any Affiliate affords the Participant unique opportunities for professional and personal development; that the services rendered by the Participant to the Corporation or any Affiliate are of a special and unique character; that the Participant will obtain knowledge and skill relevant to the Corporation's industry, methods of doing business, and strategies by virtue of the Participant's employment; that the Participant may be able to utilize such knowledge to the detriment of the Corporation and its Affiliates; and that the terms and conditions of this Section 19 are reasonable under the circumstances. The Participant further acknowledges that the Participant will not be subject to undue hardship by reason of the Participant's full compliance with the terms and conditions of this Section 19 or the Corporation's or its Affiliate’s enforcement thereof.</w:t>
      </w:r>
    </w:p>
    <w:p>
      <w:pPr>
        <w:pStyle w:val="TextBody"/>
        <w:bidi w:val="0"/>
        <w:spacing w:lineRule="auto" w:line="288" w:before="0" w:after="0"/>
        <w:ind w:left="0" w:right="0" w:hanging="720"/>
        <w:jc w:val="left"/>
        <w:rPr/>
      </w:pPr>
      <w:r>
        <w:rPr>
          <w:rFonts w:ascii="Arial;sans-serif" w:hAnsi="Arial;sans-serif"/>
          <w:b w:val="false"/>
          <w:color w:val="000000"/>
          <w:sz w:val="20"/>
        </w:rPr>
        <w:t>20.    </w:t>
      </w:r>
      <w:r>
        <w:rPr>
          <w:rFonts w:ascii="Arial;sans-serif" w:hAnsi="Arial;sans-serif"/>
          <w:b w:val="false"/>
          <w:color w:val="000000"/>
          <w:sz w:val="20"/>
          <w:u w:val="single"/>
        </w:rPr>
        <w:t>Restrictive Covenants For Participants Outside the U.S</w:t>
      </w:r>
      <w:r>
        <w:rPr>
          <w:rFonts w:ascii="Arial;sans-serif" w:hAnsi="Arial;sans-serif"/>
          <w:b w:val="false"/>
          <w:color w:val="000000"/>
          <w:sz w:val="20"/>
        </w:rPr>
        <w:t xml:space="preserve">. </w:t>
      </w:r>
    </w:p>
    <w:p>
      <w:pPr>
        <w:pStyle w:val="TextBody"/>
        <w:bidi w:val="0"/>
        <w:spacing w:before="0" w:after="0"/>
        <w:ind w:left="0" w:right="0" w:hanging="720"/>
        <w:jc w:val="left"/>
        <w:rPr/>
      </w:pPr>
      <w:r>
        <w:rPr/>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u w:val="single"/>
        </w:rPr>
        <w:t>Application</w:t>
      </w:r>
      <w:r>
        <w:rPr>
          <w:rFonts w:ascii="Arial;sans-serif" w:hAnsi="Arial;sans-serif"/>
          <w:b w:val="false"/>
          <w:color w:val="000000"/>
          <w:sz w:val="20"/>
        </w:rPr>
        <w:t xml:space="preserve">. The provisions of this Section 20 apply to Participants who are employed by an Affiliate located outside the United States and are subject to the laws of a jurisdiction outside of the United States as of the date of termination of the Participant's employment, provided, however, that to the extent the Participant is party to an employment or other agreement with any Affiliate containing non-competition, non-solicitation, confidentiality, business ideas or similar restrictions (the “local restrictive covenants”), whether or not such local restrictive covenants have been agreed to before or after execution of this Award Agreement, those local restrictive covenants and related enforcement provisions shall apply and the following provisions of this Section 20 shall also apply, unless otherwise determined by the Corporation in its sole discretion. Notwithstanding the foregoing, Section 20(k) below shall apply in any case. </w:t>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u w:val="single"/>
        </w:rPr>
        <w:t>Confidentiality</w:t>
      </w:r>
      <w:r>
        <w:rPr>
          <w:rFonts w:ascii="Arial;sans-serif" w:hAnsi="Arial;sans-serif"/>
          <w:b w:val="false"/>
          <w:color w:val="000000"/>
          <w:sz w:val="20"/>
        </w:rPr>
        <w:t xml:space="preserve">. During the Participant’s employment with the Corporation or any Affiliate and indefinitely thereafter, the Participant undertakes to maintain the confidentiality of, and not to divulge to any person (except as required by law) any of the Corporation's or any Affiliate's Confidential Information (as defined below), nor use the same for any other purpose, other than to carry out the Participant’s functions as an employee of the Corporation or any of its Affiliates. The Participant shall use all personal endeavors to prevent publication or disclosure of such Confidential Information. The Participant will comply with the policies and procedures of the Corporation for protecting Confidential Information and shall not disclose to any person or use, other than as required by applicable law or for the proper performance of the Participant’s duties and responsibilities to the Corporation and its Affiliates, any Confidential Information. Nothing in this Award Agreement shall be construed to prevent disclosure of Confidential Information as may be required by applicable law or regulation, or pursuant to the valid order of a court of competent jurisdiction or an authorized government agency, provided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7665"/>
                <wp:effectExtent l="0" t="0" r="0" b="0"/>
                <wp:wrapNone/>
                <wp:docPr id="106" name="Frame1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disclosure does not exceed the extent of disclosure required by such law, regulation, or order, including initiating, testifying, assisting, complying with a subpoena from, or participating in any manner with an investigation conducted by a local agency, filing or disclosing any facts necessary to receive social insurance or other public benefits. The Participant shall promptly provide written notice of any such order to an authorized officer of the Corporation. Nothing in this Award Agreement prohibits or restricts the Participant (or Participant's attorney) from initiating communications directly with, responding to an inquiry from, or providing testimony before any regulatory authority. “Confidential Information,” for purposes of this Section 20, shall mean (i) statutory trade secrets; (ii) proprietary information developed or acquired by the Corporation that does not rise to the level of a statutorily protectable trade secret and is made the property of the Corporation through this mutual Agreement of the parties; and (iii) information that is otherwise legally protectable. Such Confidential Information includes, but is not limited to, information in whatever form (including, without limitation, in written, oral, visual or electronic form or on any magnetic or optical disk or memory storage medium, as well as other physical items wherever located, and abstracts or summaries of the foregoing) relating to the business, suppliers, customers, products, affairs and finances of the Corporation or any Affiliate for the time being confidential to the Corporation or any Affiliate, ideas, conceptions, compilations of data, and developments created by the Corporation, whether or not patentable and whether or not copyrightable, and trade secrets including, without limitation, technical data and know-how relating to the business of the Corporation or any Affiliate, or any of their suppliers, customers, agents, distributors, shareholders or management, including (but not limited to) business plans, pricing strategies, financial information, patent rights, patent applications, information concerning tenders and potential contracts, information concerning proposed product ranges, product development information, employee and salary information, research and development activities or manufacturing methods that the Participant creates, develops, receives, obtains or has knowledge of in connection with the Participant's employment, and all other matters which relate to the business of the Corporation or any Affiliate and in respect of which information is not readily available in the ordinary course of such business to the Corporation's Competitors, whether or not such information (if in anything other than oral form) is marked confidential. “Competitor,” for purposes of this Section 20, means a person or entity who engages in a business that is the same or substantially the same as any aspect of the Business of the Corporation. “Business of the Corporation,” for purposes of this Section 20, is the development, production, sales and/or marketing of (i) health and hygiene products and related apparel; (ii) washroom and workplace protective and safety products; (iii) any product for which the Participant had development, marketing, innovation/technology (R&amp;D), distribution, sales, administrative, operational/supply chain, manufacturing oversight, or other responsibilities or was provided with regular and material access to Confidential Information; and (iv) the materials, packaging and other components/subcomponents of such products including, without limitation, non-wood plants and products derived therefrom including any fibers, pulps or extracts.</w:t>
      </w:r>
    </w:p>
    <w:p>
      <w:pPr>
        <w:pStyle w:val="TextBody"/>
        <w:bidi w:val="0"/>
        <w:spacing w:lineRule="auto" w:line="288" w:before="0" w:after="240"/>
        <w:jc w:val="left"/>
        <w:rPr/>
      </w:pPr>
      <w:r>
        <w:rPr>
          <w:rFonts w:ascii="Arial;sans-serif" w:hAnsi="Arial;sans-serif"/>
          <w:b w:val="false"/>
          <w:color w:val="000000"/>
          <w:sz w:val="20"/>
        </w:rPr>
        <w:t>(c)</w:t>
      </w:r>
      <w:r>
        <w:rPr>
          <w:rFonts w:ascii="Arial;sans-serif" w:hAnsi="Arial;sans-serif"/>
          <w:b w:val="false"/>
          <w:color w:val="000000"/>
          <w:sz w:val="20"/>
          <w:u w:val="single"/>
        </w:rPr>
        <w:t>Non-Competition</w:t>
      </w:r>
      <w:r>
        <w:rPr>
          <w:rFonts w:ascii="Arial;sans-serif" w:hAnsi="Arial;sans-serif"/>
          <w:b w:val="false"/>
          <w:color w:val="000000"/>
          <w:sz w:val="20"/>
        </w:rPr>
        <w:t xml:space="preserve">. It is acknowledged that the Participant has acquired or will acquire Confidential Information during the Participant’s employment with the Corporation or any Affiliate, and should the Participant’s employment cease, the Participant will inevitably use or disclose the Corporation’s or an Affiliate’s Confidential Information while working in a competitive role. It is further acknowledged that it may be difficult to police Section 20(b) above, prohibiting the disclosure of such Confidential Information as well as the non-solicitation sub-sections set out below. For these reasons, during the term of the Participant’s employment and for the applicable period listed in Appendix B of this Award Agreement following the termination of employment, regardless of the reason for or the manner of termination, the Participant shall not, in any country or countries for which Participant had development, marketing, innovation/technology (R&amp;D), distribution, sales, administrative, operational/supply chain, manufacturing oversight, or other responsibilities during the last two (2) years of Participant’s employment or was provided with regular and material access to Confidential Information regarding the Corporation’s or an Affiliate's business operations in that country or countries during the last two (2) years of Participant’s employment, either directly or indirectly, perform duties or undertake responsibilities (including without limitation as an employee, employer, owner, operator, manager, advisor, consultant, contractor, agent, partner, director, officer, volunteer, intern, or any other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7665"/>
                <wp:effectExtent l="0" t="0" r="0" b="0"/>
                <wp:wrapNone/>
                <wp:docPr id="107" name="Frame1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capacity) for a Competitor that are the same or substantially similar to those duties or responsibilities that the Participant performed or undertook for the Corporation or an Affiliate during the two (2) year period prior to the end of the Participant’s employment with the Corporation or an Affiliate. </w:t>
      </w:r>
    </w:p>
    <w:p>
      <w:pPr>
        <w:pStyle w:val="TextBody"/>
        <w:bidi w:val="0"/>
        <w:spacing w:lineRule="auto" w:line="288" w:before="0" w:after="240"/>
        <w:jc w:val="left"/>
        <w:rPr/>
      </w:pPr>
      <w:r>
        <w:rPr>
          <w:rFonts w:ascii="Arial;sans-serif" w:hAnsi="Arial;sans-serif"/>
          <w:b w:val="false"/>
          <w:color w:val="000000"/>
          <w:sz w:val="20"/>
        </w:rPr>
        <w:t>(d)</w:t>
      </w:r>
      <w:r>
        <w:rPr>
          <w:rFonts w:ascii="Arial;sans-serif" w:hAnsi="Arial;sans-serif"/>
          <w:b w:val="false"/>
          <w:color w:val="000000"/>
          <w:sz w:val="20"/>
          <w:u w:val="single"/>
        </w:rPr>
        <w:t>Business Ideas</w:t>
      </w:r>
      <w:r>
        <w:rPr>
          <w:rFonts w:ascii="Arial;sans-serif" w:hAnsi="Arial;sans-serif"/>
          <w:b w:val="false"/>
          <w:color w:val="000000"/>
          <w:sz w:val="20"/>
        </w:rPr>
        <w:t>. The Participant acknowledges that the Corporation owns all rights in all Business Ideas (as defined below). For the avoidance of doubt, in the event an assignment is needed during the term of the Participant's employment with the Corporation or any Affiliate and at any time following the termination of employment, the Participant hereby assigns without further action being required to the Employer all Business Ideas. The Participant shall promptly execute all documents which the Corporation may reasonably require to perfect, maintain and protect its patent, copyright, trade secret, trademark and any and all other rights to such Business Ideas throughout the world, and shall provide other reasonable assistance and cooperation as may be necessary for the Corporation or the Employer to investigate, perfect, maintain and protect those rights, including assistance and cooperation with litigation relating to any Business Ideas. Even after the Participant's employment with the Corporation or any Affiliate terminates, the Participant will continue to be reasonably available to assist the Corporation or the Employer with its efforts to investigate, perfect, maintain and protect rights in any Business Ideas, including assistance with litigation relating to any Business Ideas. “Business Ideas” as used in this Award Agreement means all ideas, concepts, innovations, inventions, strategy, data, developments, and works of authorship, whether or not patentable, both technical and business, which the Participant originates, conceives or develops, either alone or in conjunction with others, at any time during the Participant's employment with the Corporation or any Affiliate, except those which satisfy all three of the following criteria: (i) unrelated to the Corporation's business; (ii) not originated, conceived or developed during the Participant's working hours; and (iii) not originated, conceived or developed by use of any Corporation property such as tools, supplies, equipment, materials, facilities or other Corporation employees. Any idea, concept, innovation, invention, strategy, data, development or work of authorship that the Participant originates, conceives or develops, through the use of Corporation Confidential Information, at any time within six (6) months after the Participant's employment with the Corporation or any Affiliate terminates (for any reason) will be presumed to be a Business Idea unless the Participant can prove otherwise by clear and convincing evidence.</w:t>
      </w:r>
    </w:p>
    <w:p>
      <w:pPr>
        <w:pStyle w:val="TextBody"/>
        <w:bidi w:val="0"/>
        <w:spacing w:lineRule="auto" w:line="288" w:before="0" w:after="240"/>
        <w:jc w:val="left"/>
        <w:rPr/>
      </w:pPr>
      <w:r>
        <w:rPr>
          <w:rFonts w:ascii="Arial;sans-serif" w:hAnsi="Arial;sans-serif"/>
          <w:b w:val="false"/>
          <w:color w:val="000000"/>
          <w:sz w:val="20"/>
        </w:rPr>
        <w:t>(e)</w:t>
      </w:r>
      <w:r>
        <w:rPr>
          <w:rFonts w:ascii="Arial;sans-serif" w:hAnsi="Arial;sans-serif"/>
          <w:b w:val="false"/>
          <w:color w:val="000000"/>
          <w:sz w:val="20"/>
        </w:rPr>
        <w:t>Rights to Photographs, Videos, Recordings, and Electronic Images/Waiver of Publicity Rights. The Participant agrees that the Corporation and its licensee may, and are entitled to, use, exploit, publish, and copyright photographs, videos, audio, and other recordings and electronic images, icons, or figures of or representing Participant (collectively, the “Performance”) relating in any way to the Business of the Corporation that are made during the term of the Participant’s employment (and any derivative works made thereafter), and that the Corporation shall have all of Participant’s rights, title, and interest (if any) in, to, and under any such Performance including, without limitation, privacy, copyright, moral right, and rights of publicity. The Corporation and its licensees may use such Performance without further compensation or any other additional consideration, for any advertising, publishing, social media, or other business or commercial purposes on behalf of the Company both during or after the term of the Participant’s employment.</w:t>
      </w:r>
    </w:p>
    <w:p>
      <w:pPr>
        <w:pStyle w:val="TextBody"/>
        <w:bidi w:val="0"/>
        <w:spacing w:lineRule="auto" w:line="288" w:before="0" w:after="240"/>
        <w:jc w:val="left"/>
        <w:rPr/>
      </w:pPr>
      <w:r>
        <w:rPr>
          <w:rFonts w:ascii="Arial;sans-serif" w:hAnsi="Arial;sans-serif"/>
          <w:b w:val="false"/>
          <w:color w:val="000000"/>
          <w:sz w:val="20"/>
        </w:rPr>
        <w:t>(f)</w:t>
      </w:r>
      <w:r>
        <w:rPr>
          <w:rFonts w:ascii="Arial;sans-serif" w:hAnsi="Arial;sans-serif"/>
          <w:b w:val="false"/>
          <w:color w:val="000000"/>
          <w:sz w:val="20"/>
          <w:u w:val="single"/>
        </w:rPr>
        <w:t>Notification Requirement</w:t>
      </w:r>
      <w:r>
        <w:rPr>
          <w:rFonts w:ascii="Arial;sans-serif" w:hAnsi="Arial;sans-serif"/>
          <w:b w:val="false"/>
          <w:color w:val="000000"/>
          <w:sz w:val="20"/>
        </w:rPr>
        <w:t xml:space="preserve">. During the term of the Participant's employment with the Corporation or any Affiliate and for the period of two (2) years following termination of the Participant’s employment with the Corporation or an Affiliate, the Participant agrees to notify the Corporation in writing prior to accepting new employment, or engaging in any other activity which may violate this Award Agreement, and the Participant agrees to provide in such notice information concerning the anticipated new employment or activity, including, but not limited to: name of new employer; address of new employer; name of new team leader; job title; and scope and responsibilities of the new position. The Participant recognizes that such duty of notification is not affected by the Participant’s belief that such employment may perhaps not violate this Award Agreement or otherwise be unfairly competitive with the Corporation or an Affiliate. The Participant’s written notice should be addressed to the Corporation's General Counsel with subject line Non-Competition Agreement, via email to </w:t>
      </w:r>
      <w:r>
        <w:rPr>
          <w:rFonts w:ascii="Arial;sans-serif" w:hAnsi="Arial;sans-serif"/>
          <w:b/>
          <w:color w:val="0E32E1"/>
          <w:sz w:val="20"/>
        </w:rPr>
        <w:t>Noncompete.Notification@kcc.com</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7665"/>
                <wp:effectExtent l="0" t="0" r="0" b="0"/>
                <wp:wrapNone/>
                <wp:docPr id="108" name="Frame1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(g)</w:t>
      </w:r>
      <w:r>
        <w:rPr>
          <w:rFonts w:ascii="Arial;sans-serif" w:hAnsi="Arial;sans-serif"/>
          <w:b w:val="false"/>
          <w:color w:val="000000"/>
          <w:sz w:val="20"/>
          <w:u w:val="single"/>
        </w:rPr>
        <w:t>Other Notification</w:t>
      </w:r>
      <w:r>
        <w:rPr>
          <w:rFonts w:ascii="Arial;sans-serif" w:hAnsi="Arial;sans-serif"/>
          <w:b w:val="false"/>
          <w:color w:val="000000"/>
          <w:sz w:val="20"/>
        </w:rPr>
        <w:t xml:space="preserve">. During the period of two (2) years following termination of the Participant’s employment with the Corporation or an Affiliate, the Participant shall provide a copy of Section 20 of this Award Agreement to each new employer before starting in any new employment. The Participant agrees that the Corporation may notify any third party about the Participant’s obligations under Section 20 of this Award Agreement until such obligations are fulfilled. </w:t>
      </w:r>
    </w:p>
    <w:p>
      <w:pPr>
        <w:pStyle w:val="TextBody"/>
        <w:bidi w:val="0"/>
        <w:spacing w:lineRule="auto" w:line="288" w:before="0" w:after="240"/>
        <w:jc w:val="left"/>
        <w:rPr/>
      </w:pPr>
      <w:r>
        <w:rPr>
          <w:rFonts w:ascii="Arial;sans-serif" w:hAnsi="Arial;sans-serif"/>
          <w:b w:val="false"/>
          <w:color w:val="000000"/>
          <w:sz w:val="20"/>
        </w:rPr>
        <w:t>(h)</w:t>
      </w:r>
      <w:r>
        <w:rPr>
          <w:rFonts w:ascii="Arial;sans-serif" w:hAnsi="Arial;sans-serif"/>
          <w:b w:val="false"/>
          <w:color w:val="000000"/>
          <w:sz w:val="20"/>
          <w:u w:val="single"/>
        </w:rPr>
        <w:t>Non-Solicitation of Business</w:t>
      </w:r>
      <w:r>
        <w:rPr>
          <w:rFonts w:ascii="Arial;sans-serif" w:hAnsi="Arial;sans-serif"/>
          <w:b w:val="false"/>
          <w:color w:val="000000"/>
          <w:sz w:val="20"/>
        </w:rPr>
        <w:t>. During the term of the Participant’s employment and for a period of two (2) years following the termination of employment, regardless of the reason for or the manner of termination, the Participant shall not, either directly or indirectly, on the Participant’s own behalf or on behalf of any other person, firm or company or other entity, solicit, interfere with, entice or endeavor to entice away from the Corporation or any Affiliate any Restricted Customer (as defined below), or seek to conduct Restricted Business(as defined below), or conduct Restricted Business, with any Restricted Customer and/or otherwise persuade, induce, solicit or encourage any person or entity to terminate its contractual relationship with the Corporation or any Affiliate. “Restricted Business,” for purposes of this Section 20, means any business activity carried out by the Participant for the Corporation or any Affiliate during the last two (2) years preceding the Participant’s termination date. “Restricted Customer,” for purposes of this Section 20, means any person, firm or company or other entity who was a customer or distributor of the Corporation or any Affiliate as at the Participant’s termination date or during the last two (2) years preceding the Participant’s termination date, and (i) with whom the Participant had material contact at the Participant’s termination Date, or during the last two (2) years preceding the Participant’s termination date, or (ii) in respect of whom, as at the Participant’s termination date or during the last two (2) years preceding the Participant’s termination date, the Participant had Confidential Information, including any Prospective Customer. “Prospective Customer,” for purposes of this Section 20, means any person, firm or company or other entity with whom the Corporation or any Affiliate was involved in negotiations as at the Participant’s termination date or during the last two (2) years preceding the Participant’s termination date, with a view to dealing with it as a customer and/or to conclude a contractual relationship with such entity, and where such negotiations have involved more than nominal expense or time commitment, and/or with whom the Participant had contact at the Participant’s termination date or during the last two (2) years preceding the Participant’s termination date with a view to dealing with it as a customer of the Corporation or any Affiliate and/or to conclude a contractual relationship with such entity or in respect of whom, as at the Participant’s termination date or during the last two (2) years preceding the Participant’s termination date, the Participant had Confidential Information.</w:t>
      </w:r>
    </w:p>
    <w:p>
      <w:pPr>
        <w:pStyle w:val="TextBody"/>
        <w:bidi w:val="0"/>
        <w:spacing w:lineRule="auto" w:line="288" w:before="0" w:after="240"/>
        <w:jc w:val="left"/>
        <w:rPr/>
      </w:pPr>
      <w:r>
        <w:rPr>
          <w:rFonts w:ascii="Arial;sans-serif" w:hAnsi="Arial;sans-serif"/>
          <w:b w:val="false"/>
          <w:color w:val="000000"/>
          <w:sz w:val="20"/>
        </w:rPr>
        <w:t>(i)</w:t>
      </w:r>
      <w:r>
        <w:rPr>
          <w:rFonts w:ascii="Arial;sans-serif" w:hAnsi="Arial;sans-serif"/>
          <w:b w:val="false"/>
          <w:color w:val="000000"/>
          <w:sz w:val="20"/>
          <w:u w:val="single"/>
        </w:rPr>
        <w:t>Non-Solicitation of Employees</w:t>
      </w:r>
      <w:r>
        <w:rPr>
          <w:rFonts w:ascii="Arial;sans-serif" w:hAnsi="Arial;sans-serif"/>
          <w:b w:val="false"/>
          <w:color w:val="000000"/>
          <w:sz w:val="20"/>
        </w:rPr>
        <w:t>. For a period of two (2) years following the termination of employment, regardless of the reason for or the manner of termination, the Participant shall not,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or (ii) be otherwise involved in the recruitment of such person, to leave the employment of the Corporation or of any Affiliate. Furthermore, the Participant shall not for a period of two (2) years following the termination date regardless of the reason for or the manner of termination,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to become employed by, associated with and/or form part of any business or concern, in any capacity whatsoever, of any Competitor or (ii) be otherwise involved in the recruitment of such person to become employed by, associated with and/or form part of any business or concern, in any capacity whatsoever, of any Competitor. The Participant must inform the Corporation immediately on becoming aware of any such recruitment.</w:t>
      </w:r>
    </w:p>
    <w:p>
      <w:pPr>
        <w:pStyle w:val="TextBody"/>
        <w:bidi w:val="0"/>
        <w:spacing w:lineRule="auto" w:line="288" w:before="0" w:after="240"/>
        <w:jc w:val="left"/>
        <w:rPr/>
      </w:pPr>
      <w:r>
        <w:rPr>
          <w:rFonts w:ascii="Arial;sans-serif" w:hAnsi="Arial;sans-serif"/>
          <w:b w:val="false"/>
          <w:color w:val="000000"/>
          <w:sz w:val="20"/>
        </w:rPr>
        <w:t>(j)</w:t>
      </w:r>
      <w:r>
        <w:rPr>
          <w:rFonts w:ascii="Arial;sans-serif" w:hAnsi="Arial;sans-serif"/>
          <w:b w:val="false"/>
          <w:color w:val="000000"/>
          <w:sz w:val="20"/>
          <w:u w:val="single"/>
        </w:rPr>
        <w:t>Damages and Remedies</w:t>
      </w:r>
      <w:r>
        <w:rPr>
          <w:rFonts w:ascii="Arial;sans-serif" w:hAnsi="Arial;sans-serif"/>
          <w:b w:val="false"/>
          <w:color w:val="000000"/>
          <w:sz w:val="20"/>
        </w:rPr>
        <w:t xml:space="preserve">. In the event of an anticipated, threatened, or actual breach by the Participant of any of the provisions of this Section 20, the Corporation and its Affiliates shall be entitled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67665"/>
                <wp:effectExtent l="0" t="0" r="0" b="0"/>
                <wp:wrapNone/>
                <wp:docPr id="109" name="Frame1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to all damages available as a matter of law. The Participant acknowledges and agrees that any damages would not be an adequate remedy to compensate the Corporation or an Affiliate for the harm to the business of the Corporation or the Affiliate and, in such event, agrees that the Corporation or the Affiliate, as applicable, shall be entitled to a temporary restraining order and to injunctive relief to prevent or terminate such anticipated or actual breach, provided, however, that nothing in this Award Agreement shall be construed to limit any additional relief to which the Corporation or the Affiliate may be entitled or the damages otherwise recoverable by the Corporation or the Affiliate in any such event.</w:t>
      </w:r>
    </w:p>
    <w:p>
      <w:pPr>
        <w:pStyle w:val="TextBody"/>
        <w:bidi w:val="0"/>
        <w:spacing w:lineRule="auto" w:line="288" w:before="0" w:after="240"/>
        <w:jc w:val="left"/>
        <w:rPr/>
      </w:pPr>
      <w:r>
        <w:rPr>
          <w:rFonts w:ascii="Arial;sans-serif" w:hAnsi="Arial;sans-serif"/>
          <w:b w:val="false"/>
          <w:color w:val="000000"/>
          <w:sz w:val="20"/>
        </w:rPr>
        <w:t>(k)</w:t>
      </w:r>
      <w:r>
        <w:rPr>
          <w:rFonts w:ascii="Arial;sans-serif" w:hAnsi="Arial;sans-serif"/>
          <w:b w:val="false"/>
          <w:color w:val="000000"/>
          <w:sz w:val="20"/>
          <w:u w:val="single"/>
        </w:rPr>
        <w:t>Forfeiture of Award</w:t>
      </w:r>
      <w:r>
        <w:rPr>
          <w:rFonts w:ascii="Arial;sans-serif" w:hAnsi="Arial;sans-serif"/>
          <w:b w:val="false"/>
          <w:color w:val="000000"/>
          <w:sz w:val="20"/>
        </w:rPr>
        <w:t xml:space="preserve">. In addition to the Corporation's or an Affiliate's ability to pursue injunctive relief to avoid irreparable harm pursuant to Section 20(j), in the event of an actual breach by the Participant of any of the provisions of this Section 20 or of any local restrictive covenant agreement, the Corporation also is entitled to: (i) require the Participant to repay to the Corporation, immediately upon demand, an amount equal to the value of the shares of Common Stock issued on settlement of the RSUs (less $1,000); and (ii) forfeit any portion of the Award that has not yet vested at the time the Corporation becomes aware of the breach. </w:t>
      </w:r>
    </w:p>
    <w:p>
      <w:pPr>
        <w:pStyle w:val="TextBody"/>
        <w:bidi w:val="0"/>
        <w:spacing w:lineRule="auto" w:line="288" w:before="0" w:after="240"/>
        <w:jc w:val="left"/>
        <w:rPr/>
      </w:pPr>
      <w:r>
        <w:rPr>
          <w:rFonts w:ascii="Arial;sans-serif" w:hAnsi="Arial;sans-serif"/>
          <w:b w:val="false"/>
          <w:color w:val="000000"/>
          <w:sz w:val="20"/>
        </w:rPr>
        <w:t>(l)</w:t>
      </w:r>
      <w:r>
        <w:rPr>
          <w:rFonts w:ascii="Arial;sans-serif" w:hAnsi="Arial;sans-serif"/>
          <w:b w:val="false"/>
          <w:color w:val="000000"/>
          <w:sz w:val="20"/>
          <w:u w:val="single"/>
        </w:rPr>
        <w:t>Reimbursement of Fees</w:t>
      </w:r>
      <w:r>
        <w:rPr>
          <w:rFonts w:ascii="Arial;sans-serif" w:hAnsi="Arial;sans-serif"/>
          <w:b w:val="false"/>
          <w:color w:val="000000"/>
          <w:sz w:val="20"/>
        </w:rPr>
        <w:t>. If the Participant violates any of the provisions of this Section 20, or any duty of loyalty or confidentiality imposed by law, in addition to any damages that the Participant may be required to pay, the Participant understands and agrees that the Participant shall be required to reimburse the Corporation for all its costs incurred to enforce this Award Agreement, including but not limited to, all attorneys’ fees.</w:t>
      </w:r>
    </w:p>
    <w:p>
      <w:pPr>
        <w:pStyle w:val="TextBody"/>
        <w:bidi w:val="0"/>
        <w:spacing w:lineRule="auto" w:line="288" w:before="0" w:after="240"/>
        <w:jc w:val="left"/>
        <w:rPr/>
      </w:pPr>
      <w:r>
        <w:rPr>
          <w:rFonts w:ascii="Arial;sans-serif" w:hAnsi="Arial;sans-serif"/>
          <w:b w:val="false"/>
          <w:color w:val="000000"/>
          <w:sz w:val="20"/>
        </w:rPr>
        <w:t>(m)</w:t>
      </w:r>
      <w:r>
        <w:rPr>
          <w:rFonts w:ascii="Arial;sans-serif" w:hAnsi="Arial;sans-serif"/>
          <w:b w:val="false"/>
          <w:color w:val="000000"/>
          <w:sz w:val="20"/>
          <w:u w:val="single"/>
        </w:rPr>
        <w:t>Successors and Beneficiaries.</w:t>
      </w:r>
      <w:r>
        <w:rPr>
          <w:color w:val="000000"/>
        </w:rPr>
        <w:t xml:space="preserve"> </w:t>
      </w:r>
      <w:r>
        <w:rPr>
          <w:rFonts w:ascii="Arial;sans-serif" w:hAnsi="Arial;sans-serif"/>
          <w:b w:val="false"/>
          <w:color w:val="000000"/>
          <w:sz w:val="20"/>
        </w:rPr>
        <w:t>For purposes of this Section 20, the Corporation and each of its Affiliates shall be deemed to be third party beneficiaries with the right to seek enforcement of any of the provisions of this Section 20. Further, for purposes of this Section 20, references to acting directly or indirectly include acting jointly with or through another person.</w:t>
      </w:r>
    </w:p>
    <w:p>
      <w:pPr>
        <w:pStyle w:val="TextBody"/>
        <w:bidi w:val="0"/>
        <w:spacing w:lineRule="auto" w:line="288" w:before="0" w:after="240"/>
        <w:jc w:val="left"/>
        <w:rPr/>
      </w:pPr>
      <w:r>
        <w:rPr>
          <w:rFonts w:ascii="Arial;sans-serif" w:hAnsi="Arial;sans-serif"/>
          <w:b w:val="false"/>
          <w:color w:val="000000"/>
          <w:sz w:val="20"/>
        </w:rPr>
        <w:t>(n)</w:t>
      </w:r>
      <w:r>
        <w:rPr>
          <w:rFonts w:ascii="Arial;sans-serif" w:hAnsi="Arial;sans-serif"/>
          <w:b w:val="false"/>
          <w:color w:val="000000"/>
          <w:sz w:val="20"/>
          <w:u w:val="single"/>
        </w:rPr>
        <w:t>Prior Restrictive Covenants.</w:t>
      </w:r>
      <w:r>
        <w:rPr>
          <w:color w:val="000000"/>
        </w:rPr>
        <w:t xml:space="preserve"> </w:t>
      </w:r>
      <w:r>
        <w:rPr>
          <w:rFonts w:ascii="Arial;sans-serif" w:hAnsi="Arial;sans-serif"/>
          <w:b w:val="false"/>
          <w:color w:val="000000"/>
          <w:sz w:val="20"/>
        </w:rPr>
        <w:t>Participant acknowledges and agrees that Participant is not a party to any agreement with any other company containing a confidentiality or noncompetition provision or other restriction that relates to the Business of the Corporation which Participant has not already disclosed to the Corporation or its Affiliates in writing. Participant understands that Participant is prohibited from disclosing or using during Participant’s employment with the Corporation any confidential information or trade secrets that Participant acquired from any previous employer.</w:t>
      </w:r>
    </w:p>
    <w:p>
      <w:pPr>
        <w:pStyle w:val="TextBody"/>
        <w:bidi w:val="0"/>
        <w:spacing w:lineRule="auto" w:line="288" w:before="0" w:after="240"/>
        <w:jc w:val="left"/>
        <w:rPr/>
      </w:pPr>
      <w:r>
        <w:rPr>
          <w:rFonts w:ascii="Arial;sans-serif" w:hAnsi="Arial;sans-serif"/>
          <w:b w:val="false"/>
          <w:color w:val="000000"/>
          <w:sz w:val="20"/>
        </w:rPr>
        <w:t>(o)</w:t>
      </w:r>
      <w:r>
        <w:rPr>
          <w:rFonts w:ascii="Arial;sans-serif" w:hAnsi="Arial;sans-serif"/>
          <w:b w:val="false"/>
          <w:color w:val="000000"/>
          <w:sz w:val="20"/>
          <w:u w:val="single"/>
        </w:rPr>
        <w:t>Modification</w:t>
      </w:r>
      <w:r>
        <w:rPr>
          <w:rFonts w:ascii="Arial;sans-serif" w:hAnsi="Arial;sans-serif"/>
          <w:b w:val="false"/>
          <w:color w:val="000000"/>
          <w:sz w:val="20"/>
        </w:rPr>
        <w:t>. No waiver, modification, or amendment of any term of this Award Agreement shall be valid unless made in writing specifying such waiver, modification, or amendment, and signed by an officer of the Corporation. Notwithstanding the foregoing, no waiver, modification, or amendment of this Award Agreement shall be effective if it would cause this Award or any payment or benefit hereunder to be subject to, or fail to comply with, Section 409A of the Code.</w:t>
      </w:r>
    </w:p>
    <w:p>
      <w:pPr>
        <w:pStyle w:val="TextBody"/>
        <w:bidi w:val="0"/>
        <w:spacing w:lineRule="auto" w:line="288" w:before="0" w:after="240"/>
        <w:jc w:val="left"/>
        <w:rPr/>
      </w:pPr>
      <w:r>
        <w:rPr>
          <w:rFonts w:ascii="Arial;sans-serif" w:hAnsi="Arial;sans-serif"/>
          <w:b w:val="false"/>
          <w:color w:val="000000"/>
          <w:sz w:val="20"/>
        </w:rPr>
        <w:t>(p)</w:t>
      </w:r>
      <w:r>
        <w:rPr>
          <w:rFonts w:ascii="Arial;sans-serif" w:hAnsi="Arial;sans-serif"/>
          <w:b w:val="false"/>
          <w:color w:val="000000"/>
          <w:sz w:val="20"/>
          <w:u w:val="single"/>
        </w:rPr>
        <w:t>Severability and Reformation</w:t>
      </w:r>
      <w:r>
        <w:rPr>
          <w:rFonts w:ascii="Arial;sans-serif" w:hAnsi="Arial;sans-serif"/>
          <w:b w:val="false"/>
          <w:color w:val="000000"/>
          <w:sz w:val="20"/>
        </w:rPr>
        <w:t>. If any provision of this Section 20 is held to be invalid, illegal or unenforceable in any respect by a court of competent jurisdiction, such provision shall be deemed to be severed from the Award Agreement and such invalidity, illegality or unenforceability will not affect any other provision of the Award Agreement, all of which shall remain valid and enforceable. Notwithstanding the foregoing, if a court of competent jurisdiction determines that the covenants contained in this Section 20 are unenforceable because they are overbroad in some respect, to the full extent permitted by applicable law, the court should sever, revise or reform any aspect of this Section 20 so as to make the scope of such Section 20 as broad as reasonable under applicable law and enforce this Section 20 as so modified. Without limiting the foregoing, if a court, government agency or other body of competent jurisdiction establishes or the Corporation otherwise determines that the covenants contained in this Award Agreement are unenforceable and/or in violation of applicable rules, the Corporation reserves the right to unilaterally amend the Award Agreement so as to comply with applicable rules.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7665"/>
                <wp:effectExtent l="0" t="0" r="0" b="0"/>
                <wp:wrapNone/>
                <wp:docPr id="110" name="Frame1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(q)</w:t>
      </w:r>
      <w:r>
        <w:rPr>
          <w:rFonts w:ascii="Arial;sans-serif" w:hAnsi="Arial;sans-serif"/>
          <w:b w:val="false"/>
          <w:color w:val="000000"/>
          <w:sz w:val="20"/>
          <w:u w:val="single"/>
        </w:rPr>
        <w:t>Tolling.</w:t>
      </w:r>
      <w:r>
        <w:rPr>
          <w:color w:val="000000"/>
        </w:rPr>
        <w:t xml:space="preserve"> </w:t>
      </w:r>
      <w:r>
        <w:rPr>
          <w:rFonts w:ascii="Arial;sans-serif" w:hAnsi="Arial;sans-serif"/>
          <w:b w:val="false"/>
          <w:color w:val="000000"/>
          <w:sz w:val="20"/>
        </w:rPr>
        <w:t>If the Participant violates any of the restrictions of this Section 20, the period for all such restrictions shall automatically be extended by the period the Participant was in violation of them.</w:t>
      </w:r>
    </w:p>
    <w:p>
      <w:pPr>
        <w:pStyle w:val="TextBody"/>
        <w:bidi w:val="0"/>
        <w:spacing w:lineRule="auto" w:line="288" w:before="0" w:after="240"/>
        <w:jc w:val="left"/>
        <w:rPr/>
      </w:pPr>
      <w:r>
        <w:rPr>
          <w:rFonts w:ascii="Arial;sans-serif" w:hAnsi="Arial;sans-serif"/>
          <w:b w:val="false"/>
          <w:color w:val="000000"/>
          <w:sz w:val="20"/>
        </w:rPr>
        <w:t>(r)</w:t>
      </w:r>
      <w:r>
        <w:rPr>
          <w:rFonts w:ascii="Arial;sans-serif" w:hAnsi="Arial;sans-serif"/>
          <w:b w:val="false"/>
          <w:color w:val="000000"/>
          <w:sz w:val="20"/>
          <w:u w:val="single"/>
        </w:rPr>
        <w:t>Acknowledgements.</w:t>
      </w:r>
      <w:r>
        <w:rPr>
          <w:color w:val="000000"/>
        </w:rPr>
        <w:t xml:space="preserve"> </w:t>
      </w:r>
      <w:r>
        <w:rPr>
          <w:rFonts w:ascii="Arial;sans-serif" w:hAnsi="Arial;sans-serif"/>
          <w:b w:val="false"/>
          <w:color w:val="000000"/>
          <w:sz w:val="20"/>
        </w:rPr>
        <w:t>The Participant acknowledges and agrees that employment with the Corporation or any Affiliate affords the Participant unique opportunities for professional and personal development; that the services rendered by the Participant to the Corporation or any Affiliate are of a special and unique character; that the Participant will obtain knowledge and skill relevant to the Corporation's industry, methods of doing business, and strategies by virtue of the Participant's employment; that the Participant may be able to utilize such knowledge to the detriment of the Corporation and its Affiliates; and that the terms and conditions of this Section 20 are reasonable under the circumstances. The Participant further acknowledges that the Participant will not be subject to undue hardship by reason of the Participant's full compliance with the terms and conditions of this Section 20 or the Corporation's or its Affiliates’ enforcement thereof.</w:t>
      </w:r>
    </w:p>
    <w:p>
      <w:pPr>
        <w:pStyle w:val="TextBody"/>
        <w:bidi w:val="0"/>
        <w:spacing w:lineRule="auto" w:line="288" w:before="0" w:after="240"/>
        <w:jc w:val="left"/>
        <w:rPr/>
      </w:pPr>
      <w:r>
        <w:rPr>
          <w:rFonts w:ascii="Arial;sans-serif" w:hAnsi="Arial;sans-serif"/>
          <w:b w:val="false"/>
          <w:color w:val="000000"/>
          <w:sz w:val="20"/>
        </w:rPr>
        <w:t>(s)</w:t>
      </w:r>
      <w:r>
        <w:rPr>
          <w:rFonts w:ascii="Arial;sans-serif" w:hAnsi="Arial;sans-serif"/>
          <w:b w:val="false"/>
          <w:color w:val="000000"/>
          <w:sz w:val="20"/>
          <w:u w:val="single"/>
        </w:rPr>
        <w:t>Integration</w:t>
      </w:r>
      <w:r>
        <w:rPr>
          <w:rFonts w:ascii="Arial;sans-serif" w:hAnsi="Arial;sans-serif"/>
          <w:b w:val="false"/>
          <w:color w:val="000000"/>
          <w:sz w:val="20"/>
        </w:rPr>
        <w:t>. All prior and existing non-compete, non-solicitation, confidentiality and business ideas covenants that the Participant may have with the Corporation or any Affiliate, including but not limited to any restrictive covenants that the Participant may have in any separate agreements with the Corporation or any Affiliate (“non-local restrictive covenants”), whether or not such non-local restrictive covenants have been agreed to before or after execution of this Award Agreement, shall continue to apply to the Participant, unless otherwise determined by the Corporation in its sole discretion.</w:t>
      </w:r>
    </w:p>
    <w:p>
      <w:pPr>
        <w:pStyle w:val="TextBody"/>
        <w:bidi w:val="0"/>
        <w:spacing w:lineRule="auto" w:line="288" w:before="0" w:after="240"/>
        <w:jc w:val="left"/>
        <w:rPr/>
      </w:pPr>
      <w:r>
        <w:rPr>
          <w:rFonts w:ascii="Arial;sans-serif" w:hAnsi="Arial;sans-serif"/>
          <w:b w:val="false"/>
          <w:color w:val="000000"/>
          <w:sz w:val="20"/>
        </w:rPr>
        <w:t>(t)</w:t>
      </w:r>
      <w:r>
        <w:rPr>
          <w:rFonts w:ascii="Arial;sans-serif" w:hAnsi="Arial;sans-serif"/>
          <w:b w:val="false"/>
          <w:color w:val="000000"/>
          <w:sz w:val="20"/>
          <w:u w:val="single"/>
        </w:rPr>
        <w:t>Advice to Seek Independent Counsel.</w:t>
      </w:r>
      <w:r>
        <w:rPr>
          <w:color w:val="000000"/>
        </w:rPr>
        <w:t xml:space="preserve"> </w:t>
      </w:r>
      <w:r>
        <w:rPr>
          <w:rFonts w:ascii="Arial;sans-serif" w:hAnsi="Arial;sans-serif"/>
          <w:b w:val="false"/>
          <w:color w:val="000000"/>
          <w:sz w:val="20"/>
        </w:rPr>
        <w:t>The Participant is hereby advised in writing to consult with an attorney before entering into the covenants outlined in this Section 20. The Participant acknowledges that prior to acceptance of this Award Agreement, the Participant has been advised by the Corporation of the Participant's right to seek independent advice from an attorney of the Participant's own selection regarding this Award Agreement, including the restraints imposed upon the Participant pursuant to this Section 20. The Participant acknowledges that the Participant has entered into this Award Agreement knowingly and voluntarily and with full knowledge and understanding of the provisions of this Award Agreement after being given the opportunity to consult with counsel. The Participant further represents that in entering into this Award Agreement, the Participant is not relying on any statements or representations made by any of the Corporations' directors, officers, employees or agents which are not expressly set forth herein, and that the Participant is relying only upon the Participant's own judgment and any advice provided by the Participant's attorney.</w:t>
      </w:r>
    </w:p>
    <w:p>
      <w:pPr>
        <w:pStyle w:val="TextBody"/>
        <w:bidi w:val="0"/>
        <w:spacing w:lineRule="auto" w:line="288" w:before="0" w:after="240"/>
        <w:jc w:val="left"/>
        <w:rPr/>
      </w:pPr>
      <w:r>
        <w:rPr>
          <w:rFonts w:ascii="Arial;sans-serif" w:hAnsi="Arial;sans-serif"/>
          <w:b w:val="false"/>
          <w:color w:val="000000"/>
          <w:sz w:val="20"/>
        </w:rPr>
        <w:t>21.    </w:t>
      </w:r>
      <w:r>
        <w:rPr>
          <w:rFonts w:ascii="Arial;sans-serif" w:hAnsi="Arial;sans-serif"/>
          <w:b w:val="false"/>
          <w:color w:val="000000"/>
          <w:sz w:val="20"/>
          <w:u w:val="single"/>
        </w:rPr>
        <w:t>Forfeiture and Recoupment</w:t>
      </w:r>
      <w:r>
        <w:rPr>
          <w:rFonts w:ascii="Arial;sans-serif" w:hAnsi="Arial;sans-serif"/>
          <w:b w:val="false"/>
          <w:color w:val="000000"/>
          <w:sz w:val="20"/>
        </w:rPr>
        <w:t xml:space="preserve">. </w:t>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rPr>
        <w:t>The RSUs are subject to the compensation recovery provisions of the Plan. In addition, the RSUs are subject to the Kimberly-Clark Corporation Compensation Recoupment Policy (such policy, as it may be amended from time to time, the “Recoupment Policy”) if the Participant is a Leader (as defined in the Recoupment Policy). The RSUs are also subject to the Kimberly-Clark Corporation Executive Officer Incentive Compensation Recovery Policy (such policy, as it may be amended from time to time, the “Recovery Policy”) if the Participant is a Covered Person (as defined in the Recovery Policy). The RSUs are also subject to forfeiture and/or recoupment pursuant to Sections 19(m) and 20(k) herein. A recovery under this Award Agreement may be made by (i) cancelling any RSUs which have not yet vested or been settled; (ii) recovering shares of Common Stock or cash equal to the value of the shares of Common Stock issued on settlement of the RSUs, including shares resulting from dividend equivalents; (iii) recovering proceeds realized by the Participant on the sale of such Common Stock; (iv) withholding compensation otherwise due to the Participant; (v) payment by the Participant; and/or (vi) by such other means determined appropriate under the terms of the Recoupment Policy and/or the Recovery Policy. If the Participant is required to repay the Corporation, the Corporation is entitled to offset the payment in a way that is intended to avoid the application of penalties under Section 409A of the Code, if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67665"/>
                <wp:effectExtent l="0" t="0" r="0" b="0"/>
                <wp:wrapNone/>
                <wp:docPr id="111" name="Frame1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Without limiting the foregoing, if, following a Participant’s termination of employment for a reason other than the Participant’s termination for Cause, the Corporation discovers facts that such Participant’s termination of employment could have been for Cause, such Participant’s termination of employment will be deemed to have been for Cause for all purposes, and as a result, (i) the Corporation will not issue shares of Common Stock or any other benefit otherwise payable to the Participant under the Plan and (ii) the Participant will be required to repay to the Corporation all proceeds received under the Plan that would not have been payable to such Participant had such termination of employment been for Cause.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Corporation shall have the right to suspend any and all rights or benefits awarded to the Participant hereunder, including vesting and settlement of the RSUs, pending its investigation and final determination with regard to whether the Participant has engaged in conduct constituting Cause or that would warrant application of the Recoupment Policy or Recovery Policy.</w:t>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rPr>
        <w:t>By accepting the Award Grant and the terms of this Award Agreement, the Participant understands, acknowledges and accepts that the grant, shares of Common Stock issued under the Plan and proceeds realized by the Participant pursuant to the Plan are subject to the terms of the Recoupment Policy and the Recovery Policy, which the Participant has reviewed and understands, and the Corporation may seek recovery by any of the methods described in Section 21(a) or other such means determined appropriate under the terms of the Recoupment Policy and/or the Recovery Policy.</w:t>
      </w:r>
    </w:p>
    <w:p>
      <w:pPr>
        <w:pStyle w:val="TextBody"/>
        <w:bidi w:val="0"/>
        <w:spacing w:lineRule="auto" w:line="288" w:before="0" w:after="0"/>
        <w:jc w:val="left"/>
        <w:rPr/>
      </w:pPr>
      <w:r>
        <w:rPr>
          <w:rFonts w:ascii="Arial;sans-serif" w:hAnsi="Arial;sans-serif"/>
          <w:b w:val="false"/>
          <w:color w:val="000000"/>
          <w:sz w:val="20"/>
        </w:rPr>
        <w:t>22.    </w:t>
      </w:r>
      <w:r>
        <w:rPr>
          <w:rFonts w:ascii="Arial;sans-serif" w:hAnsi="Arial;sans-serif"/>
          <w:b w:val="false"/>
          <w:color w:val="000000"/>
          <w:sz w:val="20"/>
          <w:u w:val="single"/>
        </w:rPr>
        <w:t>Whistleblower Statutes</w:t>
      </w:r>
      <w:r>
        <w:rPr>
          <w:rFonts w:ascii="Arial;sans-serif" w:hAnsi="Arial;sans-serif"/>
          <w:b w:val="false"/>
          <w:color w:val="000000"/>
          <w:sz w:val="20"/>
        </w:rPr>
        <w:t>. Notwithstanding anything to the contrary in this Award Agreement, nothing in Sections 19 , 20 or 21 of this Award Agreement is intended to or shall limit, prevent, impede or interfere with the Participant’s non-waivable right, without prior notice to the Corporation, to provide information to the government, participate in investigations, testify in proceedings regarding the Corporation, Employer or any Affiliate’s past or future conduct, engage in any activities protected under whistleblower statutes, or to receive and fully retain a monetary award from a government-administered whistleblower award program for providing information directly to a government agency. The Participant does not need prior authorization from the Corporation to make any such reports or disclosures and is not required to notify the Corporation that the Participant has made such reports or disclosures.</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23.    </w:t>
      </w:r>
      <w:r>
        <w:rPr>
          <w:rFonts w:ascii="Arial;sans-serif" w:hAnsi="Arial;sans-serif"/>
          <w:b w:val="false"/>
          <w:color w:val="000000"/>
          <w:sz w:val="20"/>
          <w:u w:val="single"/>
        </w:rPr>
        <w:t>Section 409A</w:t>
      </w:r>
      <w:r>
        <w:rPr>
          <w:rFonts w:ascii="Arial;sans-serif" w:hAnsi="Arial;sans-serif"/>
          <w:b w:val="false"/>
          <w:color w:val="000000"/>
          <w:sz w:val="20"/>
        </w:rPr>
        <w:t>. It is the intent of this Award Agreement that it and all payments and benefits hereunder be exempt from, or comply with, the requirements of Section 409A of the Code so that none of the RSUs provided under this Award Agreement or shares of Common Stock issuable thereunder will be subject to the additional tax imposed under Section 409A of the Code, and any ambiguities herein will be interpreted to be so exempt or so comply.</w:t>
      </w:r>
    </w:p>
    <w:p>
      <w:pPr>
        <w:pStyle w:val="TextBody"/>
        <w:bidi w:val="0"/>
        <w:spacing w:lineRule="auto" w:line="288" w:before="0" w:after="0"/>
        <w:jc w:val="left"/>
        <w:rPr/>
      </w:pPr>
      <w:r>
        <w:rPr>
          <w:rFonts w:ascii="Arial;sans-serif" w:hAnsi="Arial;sans-serif"/>
          <w:b w:val="false"/>
          <w:color w:val="000000"/>
          <w:sz w:val="20"/>
        </w:rPr>
        <w:t>24.    </w:t>
      </w:r>
      <w:r>
        <w:rPr>
          <w:rFonts w:ascii="Arial;sans-serif" w:hAnsi="Arial;sans-serif"/>
          <w:b w:val="false"/>
          <w:color w:val="000000"/>
          <w:sz w:val="20"/>
          <w:u w:val="single"/>
        </w:rPr>
        <w:t>Acceptance of Award Terms and Conditions</w:t>
      </w:r>
      <w:r>
        <w:rPr>
          <w:rFonts w:ascii="Arial;sans-serif" w:hAnsi="Arial;sans-serif"/>
          <w:b w:val="false"/>
          <w:color w:val="000000"/>
          <w:sz w:val="20"/>
        </w:rPr>
        <w:t xml:space="preserve">. A Participant has until the end of the ninety (90) day period beginning from the Grant Date of this Award to accept this Award Agreement. If the Participant does not accept this Award Agreement on or before the end of such ninety (90) day period then the grant of the Award, as set forth in Section 1, shall not be binding on and shall be voidable by the Corporation, in which case it shall have no further force or effect.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color w:val="000000"/>
          <w:sz w:val="20"/>
          <w:u w:val="single"/>
        </w:rPr>
      </w:pPr>
      <w:r>
        <w:rPr>
          <w:rFonts w:ascii="Arial;sans-serif" w:hAnsi="Arial;sans-serif"/>
          <w:b/>
          <w:color w:val="000000"/>
          <w:sz w:val="20"/>
          <w:u w:val="single"/>
        </w:rPr>
        <w:t>Acknowledgment of Conditions</w:t>
      </w:r>
    </w:p>
    <w:p>
      <w:pPr>
        <w:pStyle w:val="TextBody"/>
        <w:bidi w:val="0"/>
        <w:spacing w:before="0" w:after="0"/>
        <w:ind w:left="0" w:right="0" w:hanging="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understands, acknowledges and agrees to the following conditions with respect to the Award granted under the Plan:</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The Plan is established voluntarily by the Corporation, is discretionary in nature and may be modified, amended, suspended, cancelled or terminated at any time, to the extent permitted by the Plan. The grant of an Award is an exceptional, voluntary and occasional benefit and does not create any contractual or other right to receive an Award or benefits in lieu of an Award in the future, even if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7665"/>
                <wp:effectExtent l="0" t="0" r="0" b="0"/>
                <wp:wrapNone/>
                <wp:docPr id="112" name="Frame1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have been granted in the past. Future grants, if any, will be at the sole discretion of the Corporation, including, but not limited to, the timing of any grant, the number of Awards and vesting provisions.</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Participation in the Plan is voluntary and does not create a right to employment with the Participant’s Employer, shall not be interpreted as forming an employment or service contract with the Corporation, and shall not interfere with the ability of the Employer to terminate the Participant’s employment relationship at any time. The Participant understands that the Corporation has unilaterally, gratuitously and discretionally decided to grant Awards under the Plan to individuals who are employees of the Corporation or its Affiliates throughout the world. The decision is a limited decision that is entered into upon the express assumption and condition that any grant will not economically or otherwise bind the Corporation or any of its Affiliates on an ongoing basis. Consequently, the Participant understands that any grant is given on the assumption and condition that it shall not become a part of any employment contract (either with the Corporation or any of its Affiliates) and shall not be considered a mandatory benefit, salary for any purposes (including severance compensation) or any other right whatsoever. Further, the 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be made but for the assumptions and conditions referred to above; thus, the Participant understands, acknowledges and freely accepts that should any or all of the assumptions be mistaken or should any of the conditions not be met for any reason, then the Award shall be null and void.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Award and the shares of Common Stock subject to the Award, and the income from and value of same, are extraordinary items that do not constitute compensation of any kind for services of any kind rendered to the Corporation or, if different, the Employer, and which are outside the scope of the Participant’s employment contract, if any, and are not intended to replace any pension rights or compensation. As such, the Award, and the income from and value of same, are not part of normal or expected compensation for purposes of calculating any severance, resignation, termination, redundancy, dismissal, end of service payments, bonuses, long-service awards, leave-related payments, holiday pay, pension, retirement or welfare benefits or similar payments and in no event shall be considered as compensation for, or relating in any way to, past services for the Corporation, the Employer or any other Affiliate.</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Unless otherwise agreed with the Corporation, the Award and shares of Common Stock subject to the Award, and the income from and value of same, are not granted as consideration for, or in connection with, any service the Participant may provide as a director of any Affiliate.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future value of the underlying shares of Common Stock is unknown, indeterminable, and cannot be predicted with certainty.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 claim or entitlement to compensation or damages shall arise from forfeiture of the Award or recoupment of any shares of Common Stock acquired under the Plan resulting from (a) the termination of the Participant’s employment by the Corporation or the Employer (regardless of the reason for such termination and whether or not the termination is later found to be invalid or in breach of employment laws); and/or (b) an actual breach by the Participant of Section 19, Section 20, any stand-alone restrictive covenant agreement, or any local restrictive covenant agreement; and/or (c) the application of the Corporation’s Recoupment Policy, Recovery Policy, or any recovery or clawback policy required by law.</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Corporation is not providing any tax, legal or financial advice, nor is the Corporation making any recommendations regarding participation in the Plan, or the acquisition or sale of the underlying shares of Common Stock. Further, the Participant understands that he or she should consult with his or her own advisors regarding participation in the Plan before taking any action related to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67665"/>
                <wp:effectExtent l="0" t="0" r="0" b="0"/>
                <wp:wrapNone/>
                <wp:docPr id="113" name="Frame1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Neither the Corporation, the Employer nor any other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of Common Stock acquired upon settlement.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Regardless of any action the Corporation or the Employer takes with respect to any or all income tax (including federal, state and local taxes), social insurance, fringe benefit tax, payroll tax, payment on account or other tax-related items related to the Participant’s participation in the Plan and legally applicable to the Participant (“Tax-Related Items”), the Participant acknowledges that the ultimate liability for all Tax-Related Items is and remains the Participant’s responsibility and may exceed the amount, if any, actually withheld by the Corporation or the Employer. The Participant further acknowledges that the Corporation and/or the Employer (i) make no representations or undertakings regarding the treatment of any Tax-Related Items in connection with any aspect of the Award, including the grant of the RSUs, the vesting of RSUs, the conversion of the RSUs into shares or the receipt of an equivalent cash payment, the subsequent sale of any shares acquired at vesting and the receipt of any dividends or dividend equivalents; and (ii) do not commit to and are under no obligation to structure the terms of the grant or any aspect of the Award to reduce or eliminate the Participant’s liability for Tax-Related Items or achieve any particular tax result. Further, if the Participant is subject to Tax-Related Items in more than one jurisdiction, the Participant acknowledges that the Corporation and/or the Employer (or former employer, as applicable) may be required to withhold or account for Tax-Related Items in more than one jurisdiction.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relevant taxable or tax withholding event, as applicable, the Participant shall pay or make adequate arrangements satisfactory to the Corporation and/or the Employer to satisfy or account for all applicable withholding obligations for Tax-Related Items. In this regard, the Participant authorizes the Corporation or the Employer, or their respective agents, at their discretion, to satisfy their withholding obligations, if any, with regard to all Tax-Related Items by one or a combination of the following:</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    withholding from the Participant’s wages or other cash compensation paid to the Participant by the Corporation and/or the Employer; or</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    withholding from the proceeds of the sale of shares acquired upon vesting of the Award either through a voluntary sale or through a mandatory sale arranged by the Corporation (on the Participant’s behalf, pursuant to this authorization); or</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    withholding shares to be issued upon vesting of the Award;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provided, however, that if the Participant is subject to Section 16 of the U.S. Securities Exchange Act of 1934, as amended, then the Corporation will withhold in shares upon the relevant taxable or tax withholding event, as applicable, unless the use of such withholding method is not feasible under applicable tax or law or has materially adverse accounting consequences, in which case, the obligation for Tax-Related Items may be satisfied by one or a combination of methods (1), (2) and (3) above.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Corporation may withhold or account for Tax-Related Items by considering applicable statutory withholding amounts or other applicable withholding rates, including minimum rates or maximum applicable rates in applicable jurisdictions. In the event of over-withholding, the Participant may receive a refund of any over-withheld amount in cash (with no entitlement to the common stock equivalent), or if not refunded, the Participant may seek a refund from the applicable tax authorities. In the event of under-withholding, the Participant may be required to pay additional Tax-Related Items directly to the applicable tax authorities or to the Corporation or the Employer. If the obligation for Tax-Related Items is satisfied by withholding in shares, for tax purposes, the Participant is deemed to have been issued the full number of shares subject to the Award, notwithstanding that a number of shares is held back solely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7665"/>
                <wp:effectExtent l="0" t="0" r="0" b="0"/>
                <wp:wrapNone/>
                <wp:docPr id="114" name="Frame1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the purpose of paying the Tax-Related Items due as a result of any aspect of the Participant’s participation in the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 shall pay to the Corporation or to the Employer any amount of Tax-Related Items that the Corporation or the Employer may be required to withhold or account for as a result of the Participant’s participation in the Plan that cannot be satisfied by the means previously described. The Corporation may refuse to deliver shares or the proceeds of the sale of shares to the Participant if he or she fails to comply with his or her obligations in connection with the Tax-Related Items.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Corporation is located at 351 Phelps Drive Irving, TX 75038, USA and grants employees of the Corporation and its Affiliates the opportunity to participate in the Plan, at the Corporation’s sole discretion. If the Participant would like to participate in the Plan and is an employee in a country outside the European Economic Area, the Participant understands that he or she should review the following information about the Corporation’s data processing practices and declare his or her consent. If the Participant is an employee in a country that is a member of the European Economic Area, the Participant should review the information about the Corporation’s data processing practices set forth in Appendix A attached hereto. </w:t>
      </w:r>
    </w:p>
    <w:p>
      <w:pPr>
        <w:pStyle w:val="TextBody"/>
        <w:bidi w:val="0"/>
        <w:spacing w:lineRule="auto" w:line="288" w:before="240" w:after="283"/>
        <w:ind w:left="0" w:right="0" w:hanging="360"/>
        <w:jc w:val="left"/>
        <w:rPr/>
      </w:pPr>
      <w:r>
        <w:rPr>
          <w:rFonts w:ascii="Arial;sans-serif" w:hAnsi="Arial;sans-serif"/>
          <w:b/>
          <w:color w:val="000000"/>
          <w:sz w:val="20"/>
        </w:rPr>
        <w:t>(i)</w:t>
      </w:r>
      <w:r>
        <w:rPr>
          <w:rFonts w:ascii="Arial;sans-serif" w:hAnsi="Arial;sans-serif"/>
          <w:b/>
          <w:i/>
          <w:color w:val="000000"/>
          <w:sz w:val="20"/>
        </w:rPr>
        <w:t>Data Collection and Usage. The Corporation collects, processes and uses the Participant’s personal data, including, name, home address, email address and telephone number, date of birth, social insurance number, passport or other identification number, salary, citizenship, nationality, job title, any shares of stock or directorships held in the Corporation, and details of all awards, canceled, vested, or outstanding in the Participant’s favor, which the Corporation receives from the Participant or the Participant’s Employer. If the Corporation offers the Participant the opportunity to participate in the Plan, then the Corporation will collect the Participant’s personal data for purposes of allocating stock and implementing, administering and managing the Plan. The Corporation’s legal basis for the processing of the Participant's personal data would be the Participant’s consent.</w:t>
      </w:r>
    </w:p>
    <w:p>
      <w:pPr>
        <w:pStyle w:val="TextBody"/>
        <w:bidi w:val="0"/>
        <w:spacing w:lineRule="auto" w:line="288" w:before="240" w:after="283"/>
        <w:ind w:left="0" w:right="0" w:hanging="360"/>
        <w:jc w:val="left"/>
        <w:rPr/>
      </w:pPr>
      <w:r>
        <w:rPr>
          <w:rFonts w:ascii="Arial;sans-serif" w:hAnsi="Arial;sans-serif"/>
          <w:b/>
          <w:color w:val="000000"/>
          <w:sz w:val="20"/>
        </w:rPr>
        <w:t>(ii)</w:t>
      </w:r>
      <w:r>
        <w:rPr>
          <w:rFonts w:ascii="Arial;sans-serif" w:hAnsi="Arial;sans-serif"/>
          <w:b/>
          <w:i/>
          <w:color w:val="000000"/>
          <w:sz w:val="20"/>
        </w:rPr>
        <w:t>Stock Plan Administration Service Providers. The Corporation transfers participant data to Merrill Lynch, an independent service provider based in the United States, which assists the Corporation with the implementation, administration and management of the Plan. In the future, the Corporation may select a different service provider and share the Participant’s data with another company that serves in a similar manner. The Corporation’s service provider will open an account for the Participant. The Participant will be asked to agree on separate terms and data processing practices with the service provider, which is a condition for participation in the Plan.</w:t>
      </w:r>
    </w:p>
    <w:p>
      <w:pPr>
        <w:pStyle w:val="TextBody"/>
        <w:bidi w:val="0"/>
        <w:spacing w:lineRule="auto" w:line="288" w:before="240" w:after="283"/>
        <w:ind w:left="0" w:right="0" w:hanging="360"/>
        <w:jc w:val="left"/>
        <w:rPr/>
      </w:pPr>
      <w:r>
        <w:rPr>
          <w:rFonts w:ascii="Arial;sans-serif" w:hAnsi="Arial;sans-serif"/>
          <w:b/>
          <w:color w:val="000000"/>
          <w:sz w:val="20"/>
        </w:rPr>
        <w:t>(iii)</w:t>
      </w:r>
      <w:r>
        <w:rPr>
          <w:rFonts w:ascii="Arial;sans-serif" w:hAnsi="Arial;sans-serif"/>
          <w:b/>
          <w:i/>
          <w:color w:val="000000"/>
          <w:sz w:val="20"/>
        </w:rPr>
        <w:t xml:space="preserve">International Data Transfers. The Corporation and its service providers are based in the United States. If the Participant is outside of the United States, the Participant should note that his or her country may have enacted data privacy laws that are different from the United States. The Corporation’s legal basis for the transfer of the Participant’s personal data is the Participant’s consent. </w:t>
      </w:r>
    </w:p>
    <w:p>
      <w:pPr>
        <w:pStyle w:val="TextBody"/>
        <w:bidi w:val="0"/>
        <w:spacing w:lineRule="auto" w:line="288" w:before="240" w:after="283"/>
        <w:ind w:left="0" w:right="0" w:hanging="360"/>
        <w:jc w:val="left"/>
        <w:rPr/>
      </w:pPr>
      <w:r>
        <w:rPr>
          <w:rFonts w:ascii="Arial;sans-serif" w:hAnsi="Arial;sans-serif"/>
          <w:b/>
          <w:color w:val="000000"/>
          <w:sz w:val="20"/>
        </w:rPr>
        <w:t>(iv)</w:t>
      </w:r>
      <w:r>
        <w:rPr>
          <w:rFonts w:ascii="Arial;sans-serif" w:hAnsi="Arial;sans-serif"/>
          <w:b/>
          <w:i/>
          <w:color w:val="000000"/>
          <w:sz w:val="20"/>
        </w:rPr>
        <w:t>Data Retention. The Corporation will use the Participant’s personal data only as long as is necessary to implement, administer and manage his or her participation in the Plan or as required to comply with legal or regulatory obligations, including under tax and security laws. This period may extend until the Participant’s employment or service with the Corporation is terminated, plus any additional time periods necessary for compliance with law, exercise or defense of legal rights, and archiving, back-up and deletion processes.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67665"/>
                <wp:effectExtent l="0" t="0" r="0" b="0"/>
                <wp:wrapNone/>
                <wp:docPr id="115" name="Frame1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left"/>
        <w:rPr/>
      </w:pPr>
      <w:r>
        <w:rPr>
          <w:rFonts w:ascii="Arial;sans-serif" w:hAnsi="Arial;sans-serif"/>
          <w:b/>
          <w:color w:val="000000"/>
          <w:sz w:val="20"/>
        </w:rPr>
        <w:t>(v)</w:t>
      </w:r>
      <w:r>
        <w:rPr>
          <w:rFonts w:ascii="Arial;sans-serif" w:hAnsi="Arial;sans-serif"/>
          <w:b/>
          <w:i/>
          <w:color w:val="000000"/>
          <w:sz w:val="20"/>
        </w:rPr>
        <w:t>Voluntariness and Consequences of Consent Denial or Withdrawal. The Participant’s participation in the Plan and the Participant’s grant of consent is purely voluntary. The Participant may deny or withdraw his or her consent at any time. If the Participant does not consent, or if he or she withdraws their consent, the Participant cannot participate in the Plan. This would not affect the Participant’s salary as an employee; the Participant would merely forfeit the opportunities associated with the Plan.</w:t>
      </w:r>
    </w:p>
    <w:p>
      <w:pPr>
        <w:pStyle w:val="TextBody"/>
        <w:bidi w:val="0"/>
        <w:spacing w:lineRule="auto" w:line="288" w:before="240" w:after="283"/>
        <w:ind w:left="0" w:right="0" w:hanging="360"/>
        <w:jc w:val="left"/>
        <w:rPr/>
      </w:pPr>
      <w:r>
        <w:rPr>
          <w:rFonts w:ascii="Arial;sans-serif" w:hAnsi="Arial;sans-serif"/>
          <w:b/>
          <w:color w:val="000000"/>
          <w:sz w:val="20"/>
        </w:rPr>
        <w:t>(vi)</w:t>
      </w:r>
      <w:r>
        <w:rPr>
          <w:rFonts w:ascii="Arial;sans-serif" w:hAnsi="Arial;sans-serif"/>
          <w:b/>
          <w:i/>
          <w:color w:val="000000"/>
          <w:sz w:val="20"/>
        </w:rPr>
        <w:t xml:space="preserve">Data Subject Rights. The Participant has a number of rights under data privacy laws in his or her country. Depending on where the Participant is based, the Participant’s rights may include the right to (i) request access or copies of personal data the Corporation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the rights please contact the Corporation at Attn: Long-term Incentive Plan Administration at Kimberly Clark, 351 Phelps Drive Irving, TX 75038, USA.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Participant also understands that the Corporation may rely on a different legal basis for the processing or transfer of data in the future and/or request that the Participant provides another data privacy consent.  If applicable and upon request of the Corporation, the Participant agrees to provide an executed acknowledgment or data privacy consent form to the Corporation or the Employer (or any other acknowledgments, agreements or consents) that the Corporation and/or the Employer may deem necessary to obtain under the data privacy laws in the Participant’s country, either now or in the future.  The Participant understands that he or she will not be able to participate in the Plan if the Participant fails to execute any such acknowledgment, agreement or consent requested by the Corporation and/or the Employer.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Participant agrees with the data processing practices described in this notice, the Participant will declare his or her consent by clicking the "Accept" icon on the Merrill Lynch website.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 understands that he or she is solely responsible for obtaining/providing whatever exchange control approvals, permits, licenses or notices, which may be necessary for the Award, to acquire the shares or to hold or sell the shares subject to the Award. Neither the Corporation nor its Affiliates will be responsible for obtaining such approvals, licenses or permits, or for making any such notices, nor will the Corporation or its Affiliates be liable for any fines or penalties the Participant may incur for failure to obtain any required approvals, permits or licenses or to make any required notices.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accepting the grant of this Award, the Participant acknowledges that he or she has received a copy of the Plan and the Award Agreement and has reviewed the Plan and the Award Agreement, including Appendix A and Appendix B, in their entirety and fully understands and accepts all provisions of the Plan and the Award Agreement, including Appendix A and Appendix B.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acknowledges that he or she has read and specifically and expressly approves the following sections of the Award Agreement: Section 2(g) on Payment of Tax-Related Items; Section 5 on No Right of Continued Employment; Section 8 on Governing Law and Consent to Jurisdiction; the section on Acknowledgment of Conditions; and the Data Privacy Notice sections of both the Award Agreement and Appendix A for the Participant's country.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Subject to Sections 19(r) and 20(p), the provisions of this Award Agreement are severable and if one or more of the provisions of this Award Agreement shall be held invalid, illegal or otherwise unenforceable, in whole or in part, the remaining provisions shall nonetheless be binding and enforceable. To the extent that any provisions of this Award Agreement are held to be invalid or unenforceable in any respect, the validity, legality and enforceability of the remaining provisions shall not in any way be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7665"/>
                <wp:effectExtent l="0" t="0" r="0" b="0"/>
                <wp:wrapNone/>
                <wp:docPr id="116" name="Frame1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 acknowledges that he or she is sufficiently proficient in English, or has consulted with an advisor who is sufficiently proficient in English, so as to allow the Participant to understand the terms and conditions of this Award Agreement. Furthermore, if the Participant has received this Award Agreement or any other document related to the Plan translated into a language other than English and if the meaning of the translated version is different than the English version, the English version will control, unless otherwise explicitly required under applicable laws.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Notwithstanding any provisions in this Award Agreement, the Award shall be subject to any additional terms and conditions set forth in Appendix A to this Award Agreement for the Participant’s country. Moreover, if the Participant relocates to any of the countries included in Appendix A, the additional terms and conditions for such country will apply to the Participant, to the extent the Corporation determines that the application of such terms and conditions is necessary or advisable for legal or administrative reasons. Appendix A and Appendix B constitute part of this Award Agreement.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Participant acknowledges that the grant of an Award is expressly conditioned on the restrictive covenants set forth in Sections 19 and 20.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Corporation reserves the right to impose other requirements on the Participant’s participation in the Plan, on the Award and on any shares acquired under the Plan, to the extent the Corporation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Corporation may, in its sole discretion, decide to deliver any documents related to current or future participation in the Plan by electronic means. The Participant hereby consents to receive such documents by on-line delivery and agrees to participate in the Plan through an on-line or electronic system established and maintained by the Corporation or a third-party designated by the Corporation.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waiver by the Corporation of breach of any provision of this Award Agreement shall not operate or be construed as a waiver of any other provision of this Award Agreement, or of any subsequent breach by the Participant or any other participant.</w:t>
      </w:r>
    </w:p>
    <w:p>
      <w:pPr>
        <w:pStyle w:val="TextBody"/>
        <w:bidi w:val="0"/>
        <w:spacing w:lineRule="auto" w:line="288" w:before="240" w:after="283"/>
        <w:jc w:val="left"/>
        <w:rPr/>
      </w:pPr>
      <w:r>
        <w:rPr>
          <w:rFonts w:ascii="Arial;sans-serif" w:hAnsi="Arial;sans-serif"/>
          <w:b w:val="false"/>
          <w:color w:val="000000"/>
          <w:sz w:val="20"/>
        </w:rPr>
        <w:t>The Participant may be subject to insider trading restrictions and/or market abuse laws in applicable jurisdictions, which may affect the Participant’s ability to, directly or indirectly, accept, acquire, sell, or attempt to sell or otherwise dispose of shares of Common Stock or rights to shares of Common Stock (</w:t>
      </w:r>
      <w:r>
        <w:rPr>
          <w:rFonts w:ascii="Arial;sans-serif" w:hAnsi="Arial;sans-serif"/>
          <w:b w:val="false"/>
          <w:i/>
          <w:color w:val="000000"/>
          <w:sz w:val="20"/>
        </w:rPr>
        <w:t>e.g</w:t>
      </w:r>
      <w:r>
        <w:rPr>
          <w:rFonts w:ascii="Arial;sans-serif" w:hAnsi="Arial;sans-serif"/>
          <w:b w:val="false"/>
          <w:color w:val="000000"/>
          <w:sz w:val="20"/>
        </w:rPr>
        <w:t>., RSUs), or rights linked to the value of shares of Common Stock during such times as the Participant is considered to have “inside information” regarding the Corporation (as defined by the laws in the applicable jurisdictions or the Participant’s country). Local insider trading laws and regulations may prohibit the cancellation or amendment of orders the Participant placed before possessing inside information. Furthermore, the Participant may be prohibited from (i) disclosing the inside information to any third party, including fellow employees (other than on a “need to know” basis) and (ii) “tipping” third parties or causing them to otherwise buy or sell Corporation securities.  Any restrictions under these laws or regulations are separate from and in addition to any restrictions that may be imposed under any applicable Corporation insider trading policy.  The Participant is responsible for ensuring his or her compliance with any applicable restrictions and is advised to speak with his or her personal legal advisor on this matter.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Participant’s country may have certain foreign asset and/or foreign account reporting requirements, tax and/or exchange controls which may affect the Participant’s ability to acquire or hold shares of Common Stock acquired under the Plan or cash received from participating in the Plan (including from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67665"/>
                <wp:effectExtent l="0" t="0" r="0" b="0"/>
                <wp:wrapNone/>
                <wp:docPr id="117" name="Frame1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any dividends paid on shares acquired under the Plan) in a brokerage or bank account outside the Participant’s country. The Participant may be required to report such accounts, assets or transactions to the tax or other authorities in the Participant’s country. The Participant also may be required to repatriate sale proceeds or other funds received as a result of his or her participation in the Plan to the Participant’s country through a designated bank or broker within a certain time after receipt. In addition, the Participant agrees to take any and all actions, and consent to any and all actions taken by the Corporation or the Employer as may be required to allow the Corporation or the Employer to comply with local laws, rules and regulations in the Participant's country of residence (and country of employment, if different). Finally, the Participant agrees to take any and all actions as may be required to comply with their personal legal and tax obligations under local laws, rules and regulations in their country of residence (and country of employment, if different). The Participant should consult his or her personal legal advisor for any details.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 acknowledges that he or she has reviewed the Corporation’s Code of Conduct. The Participant further acknowledges that he or she understands and will comply with the terms and standards contained in that Code of Conduct, including but not limited to the prohibition against retaliation, and specifically acknowledges that he or she has an obligation to report suspected violations of the Code of Conduct pursuant to the Corporation’s Escalation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Conclusion and Acceptance</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The Participant accepts this grant via electronic signature by clicking the "Accept" icon and certifies that he or she has read, understands and agrees to the terms and conditions of the 2021 Equity Participation Plan (the "Plan"), the provisions of the applicable Award Agreement and all other applicable documents (including any country-specific terms applicable to the Participant’s grant). The Participant hereby authorizes the Employer to furnish the Corporation (and any agent administering the Plan or providing recordkeeping services) with such information and data as it shall request in order to facilitate the grant of Awards and enable administration of the Plan and the Participant understands that such information shall be used only as long and to the extent necessary to administer the Participant’s participation in the Plan. The Participant agrees that his or her participation in the Plan and the Awards granted to the Participant under the Plan will be governed solely by Delaware law.</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7665"/>
                <wp:effectExtent l="0" t="0" r="0" b="0"/>
                <wp:wrapNone/>
                <wp:docPr id="118" name="Frame1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OFF-CYCLE TIME-VESTED RESTRICTED STOCK UNIT</w:t>
      </w:r>
    </w:p>
    <w:p>
      <w:pPr>
        <w:pStyle w:val="TextBody"/>
        <w:bidi w:val="0"/>
        <w:spacing w:lineRule="auto" w:line="288" w:before="0" w:after="0"/>
        <w:jc w:val="center"/>
        <w:rPr/>
      </w:pPr>
      <w:r>
        <w:rPr>
          <w:rFonts w:ascii="Arial;sans-serif" w:hAnsi="Arial;sans-serif"/>
          <w:b/>
          <w:color w:val="000000"/>
          <w:sz w:val="20"/>
        </w:rPr>
        <w:t>AWARD AGREEMENT</w:t>
      </w:r>
      <w:r>
        <w:rPr>
          <w:color w:val="000000"/>
        </w:rPr>
        <w:t xml:space="preserve"> </w: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APPENDIX 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Certain capitalized terms used but not defined in this Appendix A have the meanings set forth in the Plan and/or the Award Agreement.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Appendix A includes additional terms and conditions that govern the Award granted to the Participant under the Plan if the Participant resides and/or works in any of the countries listed below.</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Appendix A also includes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November 2025. Such laws are often complex and change frequently. As a result, the Participant should not rely on the information noted herein as the only source of information relating to the consequences of the Participant’s participation in the Plan because the information may be out of date at vesting of the Award or the subsequent sale of the shares or receipt of any dividends or dividend equivalents.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the information is general in nature and may not apply to the Participant’s particular situation, and the Corporation is not in a position to assure the Participant of any particular result. Accordingly, the Participant is advised to seek appropriate professional advice as to how the relevant laws in the Participant’s country may apply to the Participant’s situation.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Finally, if the Participant is a citizen or resident of a country other than the one in which the Participant is currently residing and/or working, transferred or transfers employment and or residency after the Award is granted or is considered a resident of another country for local law purposes, the information contained herein may not be applicable to the Participant. The Corporation shall, in its sole discretion, determine to what extent the terms and conditions included herein will apply to the Participant in such circumstances.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EUROPEAN ECONOMIC AREA (INCLUDING THE UNITED KINGDOM) AND SWITZERLAND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Data Protection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Participants resident in a country in the European Economic Area, Switzerland or the United Kingdom, the following language replaces in its entirety the data privacy section in the Acknowledgment of Conditions section of the Award Agreement:</w:t>
      </w:r>
    </w:p>
    <w:p>
      <w:pPr>
        <w:pStyle w:val="TextBody"/>
        <w:bidi w:val="0"/>
        <w:spacing w:lineRule="auto" w:line="288" w:before="0" w:after="240"/>
        <w:ind w:left="0" w:right="0" w:firstLine="540"/>
        <w:jc w:val="left"/>
        <w:rPr/>
      </w:pPr>
      <w:r>
        <w:rPr>
          <w:rFonts w:ascii="Arial;sans-serif" w:hAnsi="Arial;sans-serif"/>
          <w:b w:val="false"/>
          <w:color w:val="000000"/>
          <w:sz w:val="20"/>
        </w:rPr>
        <w:t>(a)</w:t>
      </w:r>
      <w:r>
        <w:rPr>
          <w:color w:val="000000"/>
        </w:rPr>
        <w:t xml:space="preserve"> </w:t>
      </w:r>
      <w:r>
        <w:rPr>
          <w:rFonts w:ascii="Arial;sans-serif" w:hAnsi="Arial;sans-serif"/>
          <w:b/>
          <w:i/>
          <w:color w:val="000000"/>
          <w:sz w:val="20"/>
        </w:rPr>
        <w:t xml:space="preserve">The Participant is hereby notified of the collection, use and transfer outside of the European Economic Area, as described in the Award Agreement, in electronic or other form, of his or her Personal Data (defined below) by and among, as applicable, the Corporation and certain of its Affiliates for the exclusive and legitimate purpose of implementing, administering and managing the Participant’s participation in the Plan. </w:t>
      </w:r>
    </w:p>
    <w:p>
      <w:pPr>
        <w:pStyle w:val="TextBody"/>
        <w:bidi w:val="0"/>
        <w:spacing w:lineRule="auto" w:line="288" w:before="0" w:after="240"/>
        <w:ind w:left="0" w:right="0" w:firstLine="540"/>
        <w:jc w:val="left"/>
        <w:rPr/>
      </w:pPr>
      <w:r>
        <w:rPr>
          <w:rFonts w:ascii="Arial;sans-serif" w:hAnsi="Arial;sans-serif"/>
          <w:b w:val="false"/>
          <w:color w:val="000000"/>
          <w:sz w:val="20"/>
        </w:rPr>
        <w:t>(b)</w:t>
      </w:r>
      <w:r>
        <w:rPr>
          <w:rFonts w:ascii="Arial;sans-serif" w:hAnsi="Arial;sans-serif"/>
          <w:b/>
          <w:i/>
          <w:color w:val="000000"/>
          <w:sz w:val="20"/>
        </w:rPr>
        <w:t>The Participant understands that the Corporation and the Employer hold certain personal information about the Participant, including, but not limited to, the Participant’s name, home address and telephone number, email address, date of birth, social insurance number, passport or other identification number, salary, nationality, job title, any shares of Common Stock or directorships held in the Corporation, details of all entitlement to shares of Common Stock awarded, canceled, exercised, vested, unvested or outstanding in Participant’s favor (“Personal Data”), for the purpose of implementing, administering and managing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67665"/>
                <wp:effectExtent l="0" t="0" r="0" b="0"/>
                <wp:wrapNone/>
                <wp:docPr id="119" name="Frame1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540"/>
        <w:jc w:val="left"/>
        <w:rPr/>
      </w:pPr>
      <w:r>
        <w:rPr>
          <w:rFonts w:ascii="Arial;sans-serif" w:hAnsi="Arial;sans-serif"/>
          <w:b w:val="false"/>
          <w:color w:val="000000"/>
          <w:sz w:val="20"/>
        </w:rPr>
        <w:t>(c)</w:t>
      </w:r>
      <w:r>
        <w:rPr>
          <w:rFonts w:ascii="Arial;sans-serif" w:hAnsi="Arial;sans-serif"/>
          <w:b/>
          <w:i/>
          <w:color w:val="000000"/>
          <w:sz w:val="20"/>
        </w:rPr>
        <w:t xml:space="preserve">The Participant understands that providing the Corporation with this Personal Data is necessary for the performance of the Award Agreement and that the Participant's refusal to provide the Personal Data would make it impossible for the Corporation to perform its contractual obligations and may affect the Participant's ability to participate in the Plan. The Participant's Personal Data shall be accessible within the Corporation only by the persons specifically charged with Personal Data processing operations and by the persons that need to access the Personal Data because of their duties and position in relation to the performance of the Award Agreement. </w:t>
      </w:r>
    </w:p>
    <w:p>
      <w:pPr>
        <w:pStyle w:val="TextBody"/>
        <w:bidi w:val="0"/>
        <w:spacing w:lineRule="auto" w:line="288" w:before="0" w:after="240"/>
        <w:ind w:left="0" w:right="0" w:firstLine="540"/>
        <w:jc w:val="left"/>
        <w:rPr/>
      </w:pPr>
      <w:r>
        <w:rPr>
          <w:rFonts w:ascii="Arial;sans-serif" w:hAnsi="Arial;sans-serif"/>
          <w:b w:val="false"/>
          <w:color w:val="000000"/>
          <w:sz w:val="20"/>
        </w:rPr>
        <w:t>(d)</w:t>
      </w:r>
      <w:r>
        <w:rPr>
          <w:rFonts w:ascii="Arial;sans-serif" w:hAnsi="Arial;sans-serif"/>
          <w:b/>
          <w:i/>
          <w:color w:val="000000"/>
          <w:sz w:val="20"/>
        </w:rPr>
        <w:t>The Personal Data will be held only as long as is necessary to implement, administer and manage the Participant’s participation in the Plan or as required to comply with legal or regulatory obligations, including under tax and security laws. This period may extend until the Participant’s employment or service with the Corporation is terminated, plus any additional time periods necessary for compliance with law, exercise or defense of legal rights, and archiving, back-up and deletion processes. The Participant may, at any time and without cost, contact Long-term Incentive Plan Administration at Kimberly Clark, 351 Phelps Drive Irving, TX 75038, USA to enforce his or her rights under the data protection laws in the Participant's country, which may include the right to (i) request access or copies of Personal Data subject to processing; (ii) request rectification of incorrect Personal Data; (iii) request deletion of Personal Data; (iv) request restriction on processing of Personal Data; (v) request portability of Personal Data; (vi) lodge complaints with competent authorities in the Participant's country; and/or (vii) request a list with the names and addresses of any potential recipients of Personal Data.</w:t>
      </w:r>
    </w:p>
    <w:p>
      <w:pPr>
        <w:pStyle w:val="TextBody"/>
        <w:bidi w:val="0"/>
        <w:spacing w:lineRule="auto" w:line="288" w:before="0" w:after="240"/>
        <w:ind w:left="0" w:right="0" w:firstLine="540"/>
        <w:jc w:val="left"/>
        <w:rPr/>
      </w:pPr>
      <w:r>
        <w:rPr>
          <w:rFonts w:ascii="Arial;sans-serif" w:hAnsi="Arial;sans-serif"/>
          <w:b w:val="false"/>
          <w:color w:val="000000"/>
          <w:sz w:val="20"/>
        </w:rPr>
        <w:t>(e)</w:t>
      </w:r>
      <w:r>
        <w:rPr>
          <w:rFonts w:ascii="Arial;sans-serif" w:hAnsi="Arial;sans-serif"/>
          <w:b/>
          <w:i/>
          <w:color w:val="000000"/>
          <w:sz w:val="20"/>
        </w:rPr>
        <w:t xml:space="preserve">The Corporation provides appropriate safeguards for protecting Personal Data that it receives in the U.S. through its adherence to data transfer agreements entered into between the Corporation and its Affiliates within the European Union. </w:t>
      </w:r>
    </w:p>
    <w:p>
      <w:pPr>
        <w:pStyle w:val="TextBody"/>
        <w:bidi w:val="0"/>
        <w:spacing w:lineRule="auto" w:line="288" w:before="0" w:after="240"/>
        <w:ind w:left="0" w:right="0" w:firstLine="540"/>
        <w:jc w:val="left"/>
        <w:rPr/>
      </w:pPr>
      <w:r>
        <w:rPr>
          <w:rFonts w:ascii="Arial;sans-serif" w:hAnsi="Arial;sans-serif"/>
          <w:b w:val="false"/>
          <w:color w:val="000000"/>
          <w:sz w:val="20"/>
        </w:rPr>
        <w:t>(f)</w:t>
      </w:r>
      <w:r>
        <w:rPr>
          <w:rFonts w:ascii="Arial;sans-serif" w:hAnsi="Arial;sans-serif"/>
          <w:b/>
          <w:i/>
          <w:color w:val="000000"/>
          <w:sz w:val="20"/>
        </w:rPr>
        <w:t xml:space="preserve">Further, the Participant understands that the Corporation will transfer Personal Data to Merrill Lynch and/or such other third parties as may be selected by the Corporation, which are assisting the Corporation with the implementation, administration and management of the Plan. The Corporation may select a different service provider or additional service providers and share Personal Data with such other provider(s) serving in a similar manner. The Participant may be asked to agree on separate terms and data processing practices with the service provider, with such agreement being a condition to the ability to participate in the Plan. </w:t>
      </w:r>
    </w:p>
    <w:p>
      <w:pPr>
        <w:pStyle w:val="TextBody"/>
        <w:bidi w:val="0"/>
        <w:spacing w:lineRule="auto" w:line="288" w:before="0" w:after="240"/>
        <w:ind w:left="0" w:right="0" w:firstLine="540"/>
        <w:jc w:val="left"/>
        <w:rPr/>
      </w:pPr>
      <w:r>
        <w:rPr>
          <w:rFonts w:ascii="Arial;sans-serif" w:hAnsi="Arial;sans-serif"/>
          <w:b w:val="false"/>
          <w:color w:val="000000"/>
          <w:sz w:val="20"/>
        </w:rPr>
        <w:t>(g)</w:t>
      </w:r>
      <w:r>
        <w:rPr>
          <w:rFonts w:ascii="Arial;sans-serif" w:hAnsi="Arial;sans-serif"/>
          <w:b/>
          <w:i/>
          <w:color w:val="000000"/>
          <w:sz w:val="20"/>
        </w:rPr>
        <w:t xml:space="preserve">Merrill Lynch is based in the United States. The Participant's country or jurisdiction may have different data privacy laws and protections than the United States. Notwithstanding, by participating in the Plan, the Participant agrees to the transfer of his or her Personal Data to Merrill Lynch for the exclusive purpose of administering the Participant's participation in the Plan. The Corporation's legal basis, where required, for the transfer of Data to Merrill Lynch is the Participant's consent. </w:t>
      </w:r>
    </w:p>
    <w:p>
      <w:pPr>
        <w:pStyle w:val="TextBody"/>
        <w:bidi w:val="0"/>
        <w:spacing w:lineRule="auto" w:line="288" w:before="0" w:after="240"/>
        <w:ind w:left="0" w:right="0" w:firstLine="540"/>
        <w:jc w:val="left"/>
        <w:rPr/>
      </w:pPr>
      <w:r>
        <w:rPr>
          <w:rFonts w:ascii="Arial;sans-serif" w:hAnsi="Arial;sans-serif"/>
          <w:b w:val="false"/>
          <w:color w:val="000000"/>
          <w:sz w:val="20"/>
        </w:rPr>
        <w:t>(h)</w:t>
      </w:r>
      <w:r>
        <w:rPr>
          <w:rFonts w:ascii="Arial;sans-serif" w:hAnsi="Arial;sans-serif"/>
          <w:b/>
          <w:i/>
          <w:color w:val="000000"/>
          <w:sz w:val="20"/>
        </w:rPr>
        <w:t xml:space="preserve">Finally, the Participant may choose to opt out of allowing the Corporation to share his or her Personal Data with Merrill Lynch and others as described above, although execution of such choice may mean the Corporation cannot grant awards under the Plan to the Participant. For questions about this choice or to make this choice, the Participant should contact Long-term Incentive Plan Administration at Kimberly Clark, 351 Phelps Drive Irving, TX 75038, USA.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7665"/>
                <wp:effectExtent l="0" t="0" r="0" b="0"/>
                <wp:wrapNone/>
                <wp:docPr id="120" name="Frame1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ARGENTINA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RSUs and the underlying shares of Common Stock have not been and will not be publicly issued, placed, distributed, offered or registered in the Argentine capital markets and, as a result, have not been and will not be registered with the Argentine Securities Commission (Comisión Nacional de Valores, “CNV”). Neither the Award Agreement nor any other offering material related to the RSUs nor the underlying shares of Common Stock may be utilized in connection with any general offering to the public in Argentina. Any Argentine resident who acquires shares of Common Stock under the Plan does so under their own responsibility under the terms of a private offering made to the Argentine resident from outside Argentina. Any Argentine resident who acquires shares of Common Stock shall not transfer such shares of Common Stock to any other person within six (6) months of acquiring the shares of Common Stock, unless the transaction is conducted outside Argentina.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Argentine residents must report any shares of Common Stock acquired under the Plan and held on December 31st of each year on their annual tax return for the year.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Please note that exchange control regulations in Argentina are subject to frequent change. The Participant should consult with his or her personal legal advisor regarding any exchange control obligations the Participant may have in connection with the Participant’s participation in the Plan. The Participant must comply with any and all Argentine currency exchange restrictions, approvals and reporting requirements in connection with the vesting of the RSUs, the subsequent sale of any shares acquired at vesting and the receipt of any dividends paid on such shares.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AUSTRALIA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This offer is being made under Division 1A, Part 7.12 of the Australia Corporations Act 2001 (Cth).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Tax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Plan is a plan to which Subdivision 83A-C of the Income Tax Assessment Act 1997 (Cth) (the “Act”) applies (subject to conditions in the Act).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Compliance with Laws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else in the Plan or the Award Agreement, the Participant will not be entitled to and shall not claim any benefit under the Plan if the provision of such benefit would give rise to a breach of Part 2D.2 of the Corporations Act 2001 (Cth.) (the “Act”), any other provision of the Act, or any other applicable statute, rule or regulation which limits or restricts the giving of such benefits. Further, the Employer is under no obligation to seek or obtain the approval of its shareholders in a general meeting for the purpose of overcoming any such limitation or restriction.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Exchange control reporting is required for cash transactions exceeding AUD 10,000 and for international fund transfers. If an Australian bank is assisting with the transaction, the bank will file the report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67665"/>
                <wp:effectExtent l="0" t="0" r="0" b="0"/>
                <wp:wrapNone/>
                <wp:docPr id="121" name="Frame1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Participant’s behalf. If there is no Australian bank involved in the transaction, the Participant will be required to file the report him or herself.</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BAHRAIN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Award Agreement, Plan and all other materials the Participant may receive regarding participation in the Plan do not constitute advertising or the offering of securities in Bahrain, nor do they constitute an allotment of securities in Bahrain. Any shares of Common Stock issued upon settlement of the RSUs will be deposited into a Corporation-designated brokerage account outside Bahrain. In no event will shares of Common Stock be issued or delivered in Bahrain. The issuance of shares of Common Stock pursuant to the RSUs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RSUs or shares of Common Stock in Bahrain, promote these shares of Common Stock to legal entities or individuals in Bahrain, or sell shares of Common Stock directly to other legal entities or individuals in Bahrain. Any disposition or sale of such shares of Common Stock must take place outside Bahrain.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BELGIUM</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Belgian residents are required to report any securities (e.g., shares acquired under the Plan) or bank accounts opened and maintained outside Belgium (e.g., any brokerage account opened in connection with the Plan) on their annual tax returns. Belgian residents are also required to complete a separate report providing the National Bank of Belgium with details regarding any such account, including the account number, the name of the bank in which such account is held and the country in which such account is located. The forms to complete this report are available on the website of the National Bank of Belgium. Belgian residents should consult with their personal tax advisors to determine their personal reporting obligations.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Stock Exchange Tax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 stock exchange tax applies to transactions executed by a Belgian resident through a non-Belgian financial intermediary, such as a U.S. broker. The Stock Exchange Tax likely will apply when the Participant sells shares of Common Stock. The Participant should consult with his or her personal tax advisor for additional details regarding the Participant’s obligations with respect to the Stock Exchange Tax.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Annual Securities Accounts Tax</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cases, the tax will be due on the value of the qualifying securities held in such account. The Participant should consult with his or her personal tax advisor regarding the application of this tax.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BOLIVIA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7665"/>
                <wp:effectExtent l="0" t="0" r="0" b="0"/>
                <wp:wrapNone/>
                <wp:docPr id="122" name="Frame1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BRAZIL</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Compliance with Law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acknowledges that he or she agrees to comply with applicable Brazilian laws and pay any and all applicable Tax-Related Items associated with the vesting of the RSUs, the conversion of the RSUs into shares or the receipt of an equivalent cash payment, the receipt of any dividends, and the sale of shares of Common Stock acquired under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agrees that (i) the Participant is making an investment decision; (ii) the shares of Common Stock will be issued to Participant only if the vesting and/or performance conditions are met, and (iii) the value of the underlying shares of Common Stock is not fixed and may increase or decrease in value over the vesting period without compensation to the Participant.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Participant is resident or domiciled in Brazil, he or she will be required to submit annually a declaration of assets and rights held outside of Brazil to the Central Bank of Brazil if the aggregate value of such assets and rights is equal to or greater than US$1,000,000. Assets and rights that must be reported include shares of Common Stock and may include RSUs.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Tax on Financial Transaction (IOF).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Payments to foreign countries and repatriation of funds into Brazil (including proceeds from the sale) and the conversion of USD into BRL associated with such fund transfers may be subject to the Tax on Financial Transactions. It is the Participant’s responsibility to comply with any applicable Tax on Financial Transactions arising from the Participant’s participation in the Plan. The Participant should consult with his or her personal tax advisor for additional details.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CANADA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is permitted to sell shares acquired through the Plan through the designated broker appointed under the Plan, if any, provided the resale of shares acquired under the Plan takes place outside of Canada through the facilities of a stock exchange on which the shares are listed. The Corporation’s shares are currently listed on the NASDAQ.</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Termination of Employment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replaces Section 2(b) of the Award Agreement:</w:t>
      </w:r>
    </w:p>
    <w:p>
      <w:pPr>
        <w:pStyle w:val="TextBody"/>
        <w:bidi w:val="0"/>
        <w:spacing w:lineRule="auto" w:line="288"/>
        <w:jc w:val="left"/>
        <w:rPr/>
      </w:pPr>
      <w:r>
        <w:rPr>
          <w:rFonts w:ascii="Arial;sans-serif" w:hAnsi="Arial;sans-serif"/>
          <w:b w:val="false"/>
          <w:color w:val="000000"/>
          <w:sz w:val="20"/>
          <w:u w:val="single"/>
        </w:rPr>
        <w:t>Termination of Employment</w:t>
      </w:r>
      <w:r>
        <w:rPr>
          <w:rFonts w:ascii="Arial;sans-serif" w:hAnsi="Arial;sans-serif"/>
          <w:b w:val="false"/>
          <w:color w:val="000000"/>
          <w:sz w:val="20"/>
        </w:rPr>
        <w:t>. For purposes of this Award, except as explicitly and minimally required under applicable legislation or in the event of the other exemptions described in the paragraphs below, (i) the Participant's employment will be considered terminated and (ii) the Participant’s right, if any, to earn, seek damages in lieu of, vest in or otherwise benefit from any portion of the RSUs, the Award or the Plan will be measured by and immediately terminate, as of the date the Participant is no longer actually providing services to the Corporation or one of its Affiliates (regardless of the reason for such termination and whether or not later found to be invalid or in breach of employment laws in the jurisdiction where the Participant is employed or the terms of the Participant's employment agreement, if any) (the “</w:t>
      </w:r>
      <w:r>
        <w:rPr>
          <w:rFonts w:ascii="Arial;sans-serif" w:hAnsi="Arial;sans-serif"/>
          <w:b/>
          <w:color w:val="000000"/>
          <w:sz w:val="20"/>
        </w:rPr>
        <w:t>Termination Date</w:t>
      </w:r>
      <w:r>
        <w:rPr>
          <w:color w:val="000000"/>
        </w:rPr>
        <w:t>”</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7665"/>
                <wp:effectExtent l="0" t="0" r="0" b="0"/>
                <wp:wrapNone/>
                <wp:docPr id="123" name="Frame1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2"/>
        <w:jc w:val="left"/>
        <w:rPr>
          <w:rFonts w:ascii="Arial;sans-serif" w:hAnsi="Arial;sans-serif"/>
          <w:b w:val="false"/>
          <w:color w:val="000000"/>
          <w:sz w:val="20"/>
        </w:rPr>
      </w:pPr>
      <w:r>
        <w:rPr>
          <w:rFonts w:ascii="Arial;sans-serif" w:hAnsi="Arial;sans-serif"/>
          <w:b w:val="false"/>
          <w:color w:val="000000"/>
          <w:sz w:val="20"/>
        </w:rPr>
        <w:t>Except to the extent explicitly and minimally required under applicable legislation, the Termination Date will exclude and will not be extended by any period during which notice, pay in lieu of notice or related payments or damages are provided or required to be provided under statute, contract, common/civil law or otherwise. Subject to the exemptions described in the paragraphs below, the Participant will not earn or be entitled to any pro-rated vesting or other benefits or participation under the Plan for that portion of time before the Termination Date, nor will the Participant be entitled to any compensation for lost vesting or other benefits or participation in the Plan. For clarity, any reference to the termination or cessation of the Participant’s employment, or to a termination date or date of termination, under the Plan or the Award Agreement, will be interpreted to mean the Termination Date as defined above.</w:t>
      </w:r>
    </w:p>
    <w:p>
      <w:pPr>
        <w:pStyle w:val="TextBody"/>
        <w:bidi w:val="0"/>
        <w:spacing w:lineRule="auto" w:line="288" w:before="240" w:after="283"/>
        <w:ind w:left="0" w:right="0" w:hanging="2"/>
        <w:jc w:val="left"/>
        <w:rPr>
          <w:rFonts w:ascii="Arial;sans-serif" w:hAnsi="Arial;sans-serif"/>
          <w:b w:val="false"/>
          <w:color w:val="000000"/>
          <w:sz w:val="20"/>
        </w:rPr>
      </w:pPr>
      <w:r>
        <w:rPr>
          <w:rFonts w:ascii="Arial;sans-serif" w:hAnsi="Arial;sans-serif"/>
          <w:b w:val="false"/>
          <w:color w:val="000000"/>
          <w:sz w:val="20"/>
        </w:rPr>
        <w:t xml:space="preserve">Notwithstanding the foregoing, if applicable employment standards legislation explicitly requires continued vesting or other participation in the Plan during a statutory notice period, the Participant’s right to vest in the RSUs or otherwise participate in or benefit from the Award or the Plan, if any, will terminate effective upon the expiry of the minimum statutory notice period. For clarity, subject to the exemptions described in the paragraphs below, the Participant will not earn or be entitled to pro-rated vesting or other benefits or participation if the vesting date falls after the end of the statutory notice period, nor will the Participant be entitled to any compensation for lost vesting or other benefits or participation.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described above, the Participant shall forfeit any unvested Award, including any accrued dividend equivalents on the Termination Date; provided, however, that if such termination is (i) due to a Qualified Termination of Employment, or (ii) due to death, Total and Permanent Disability, or the shutdown or divestiture of a business unit, Participant shall be entitled to pro-rated or full vesting based on the formulas set out in the Award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Subject to applicable legislation, if the date the Participant ceases providing services cannot be reasonably determined under the terms of the Plan or the Award Agreement, the Committee shall have the exclusive discretion to determine when the Participant is no longer employed for purposes of the Award (including whether the Participant may still be considered employed while on a leave of absence). However, a termination of employment shall not be deemed to have occurred while a Participant is on a military leave or other bona fide leave of absence if the period of such leave does not exceed six months, or if longer, so long as the Participant retains a right to reemployment with the Corporation or an Affiliate under an applicable statute or by contract. For purposes of this sub-section, and subject to applicable legislation, a leave of absence constitutes a bona fide leave of absence only if there is a reasonable expectation that the Participant will return to perform services for the Corporation or an Affiliate. Subject to applicable legislation, if the period of leave exceeds six months and the Participant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is substituted for such six-month period in determining whether a termination of employment shall be deemed to have occurred.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termination of employment with the Corporation or an Affiliate to accept immediate reemployment with the Corporation or an Affiliate likewise shall not be deemed to be a termination of employment for the purposes of the Plan. Subject to applicable legislation, a Participant who is classified as an intermittent employee shall be deemed ineligible to further vest in the RSUs or otherwise benefit from or participate in the Award or the Plan as of the date the level of bona fide services the Participant would perform permanently decreases to less than 50 percent of the average level of bona fide services performed over the immediately preceding 36-month period (or the full period of services to the Corporation or an Affiliate if the Participant has been providing such services less than 36 months).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7665"/>
                <wp:effectExtent l="0" t="0" r="0" b="0"/>
                <wp:wrapNone/>
                <wp:docPr id="124" name="Frame1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clarity, a termination of employment includes a termination that is deemed an “unfair dismissal” or a “constructive dismissal.” Further, the Participant understands that the Award is a conditional right. Participant shall forfeit any unvested Award upon termination of employment except as provided above, for example, regardless of whether (1) the Participant is considered to be unfairly dismissed without good cause; (2) the Participant is dismissed for disciplinary or objective reasons or due to a collective dismissal; (3) the Participant terminates his or her employment or service relationship due to a change of work location, duties or any other employment or contractual condition; or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RSUs that were not vested on the Termination Date, as described in the Plan and the Award Agreement.</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Discretionary Nature of Award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replaces Section 13 of the Award Agreement</w:t>
      </w:r>
    </w:p>
    <w:p>
      <w:pPr>
        <w:pStyle w:val="TextBody"/>
        <w:bidi w:val="0"/>
        <w:spacing w:lineRule="auto" w:line="288" w:before="0" w:after="240"/>
        <w:jc w:val="left"/>
        <w:rPr/>
      </w:pPr>
      <w:r>
        <w:rPr>
          <w:rFonts w:ascii="Arial;sans-serif" w:hAnsi="Arial;sans-serif"/>
          <w:b w:val="false"/>
          <w:color w:val="000000"/>
          <w:sz w:val="20"/>
          <w:u w:val="single"/>
        </w:rPr>
        <w:t>Discretionary Nature of Award</w:t>
      </w:r>
      <w:r>
        <w:rPr>
          <w:rFonts w:ascii="Arial;sans-serif" w:hAnsi="Arial;sans-serif"/>
          <w:b w:val="false"/>
          <w:color w:val="000000"/>
          <w:sz w:val="20"/>
        </w:rPr>
        <w:t>. The grant of an Award is a one-time benefit and does not create any contractual or other right to receive a grant of Awards or benefits in lieu of Awards in the future. Future grants, if any, will be at the sole discretion of the Corporation, including, but not limited to, the timing of any grant, the number of RSUs and vesting provisions. The value of the Award is an extraordinary item outside the scope of the Participant’s employment contract, if any. As such, except as explicitly and minimally required under applicable legislation, the Award is not part of normal or expected compensation for purposes of calculating any severance, resignation, termination, redundancy, dismissal, end of service payments, bonuses, long-service awards, leave-related payments, holiday pay, pension, retirement or welfare benefits or similar payments.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Conditions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provisions replace the second, third, fourth and seventh paragraphs of the Acknowledgment of Conditions section of the Award Agreement: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Plan is established voluntarily by the Corporation, is discretionary in nature and may be modified, amended, suspended, cancelled or terminated at any time, to the extent permitted by the Plan. The Plan is operated and the RSUs are granted solely by the Corporation and only the Corporation is a party to this Award Agreement; accordingly, any rights the Participant may have under this Award Agreement may be raised only against the Corporation but not any Affiliates (including, but not limited to, the Employer). Except as explicitly and minimally required under applicable legislation, no Affiliate (including, but not limited to, the Employer) has any obligation to make any payment of any kind to the Participant under this Award Agreement. The grant of an Award is an exceptional, voluntary and occasional benefit and does not create any contractual or other right to receive an Award or benefits in lieu of an Award in the future, even if Awards have been granted in the past. Future grants, if any, will be at the sole discretion of the Corporation, including, but not limited to, the timing of any grant, the number of Awards and vesting provisions.</w:t>
      </w:r>
    </w:p>
    <w:p>
      <w:pPr>
        <w:pStyle w:val="TextBody"/>
        <w:bidi w:val="0"/>
        <w:spacing w:before="0" w:after="0"/>
        <w:ind w:left="0" w:right="0" w:hanging="36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Participation in the Plan is voluntary and does not create a right to employment with the Participant’s Employer, shall not be interpreted as forming an employment or service contract with the Corporation, and shall not interfere with the ability of the Employer to terminate the Participant’s employment relationship at any time, subject to applicable law. The Participant understands that the Corporation has unilaterally, gratuitously and discretionally decided to grant Awards under the Plan to individuals who are employees of the Corporation or its Affiliates throughout the world. The decision is a limited decision that is entered into upon the express assumption and condition that any grant will not economically or otherwise bind the Corporation or any of its Affiliates on an ongoing basis. Consequently, the Participant understands that any grant is given on the assumption and condition that it shall not become a part of any employment contract (either with the Corporation or any of its Affiliates) and, except as explicitly and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7665"/>
                <wp:effectExtent l="0" t="0" r="0" b="0"/>
                <wp:wrapNone/>
                <wp:docPr id="125" name="Frame1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minimally required under applicable legislation, shall not be considered a mandatory benefit, salary for any purposes (including severance compensation) or any other right whatsoever. Further, the 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be made but for the assumptions and conditions referred to above; thus, the Participant understands, acknowledges and freely accepts that should any or all of the assumptions be mistaken or should any of the conditions not be met for any reason, then the Award shall be null and void.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as explicitly and minimally required under applicable legislation, the Award and the shares of Common Stock subject to the Award, and the income from and value of same, are extraordinary items that do not constitute compensation of any kind for services of any kind rendered to the Corporation or, if different, the Employer, and which are outside the scope of the Participant’s employment contract, if any, and are not intended to replace any pension rights or compensation. As such, except as explicitly and minimally required under applicable legislation, the Award, and the income from and value of same, are not part of normal or expected compensation for purposes of calculating any severance, resignation, termination, redundancy, dismissal, end of service payments, bonuses, long-service awards, leave-related payments, holiday pay, pension, retirement or welfare benefits or similar payments and in no event shall be considered as compensation for, or relating in any way to, past services for the Corporation, the Employer or any other Affiliate.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as explicitly and minimally required under applicable legislation, no claim or entitlement to compensation or damages shall arise from forfeiture of the Award or recoupment of any shares of Common Stock acquired under the Plan resulting from (a) the termination of the Participant’s employment by the Corporation or the Employer (regardless of the reason for such termination and whether or not the termination is later found to be invalid or in breach of employment laws); and/or (b) an actual breach by the Participant of Section 19, Section 20, any stand-alone restrictive covenant agreement, or any local restrictive covenant agreement; and/or (c) the application of the Corporation’s Recoupment Policy, Recovery Policy, or any recovery or clawback policy required by law.</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Language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 French translation of the Plan and the Award Agreement can be made available to the Participant as soon as reasonably practicable upon the Participant’s request. The Participant understands that, from time to time, additional information related to the offering of the Plan might be provided in English and such information may not be immediately available in French. However, upon request, the Corporation will translate into French documents related to the offering of the Plan as soon as reasonably practicable.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Une traduction française du Plan et de l'Accord d'Attribution êtremise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Société traduira en français les documents relatifs à l'offre du Plan dès que raisonnablement possible.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Authorization to Release and Transfer Necessary Personal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hereby authorizes the Corporation and the Corporation’s representatives, including the broker(s) designated by the Corporation, to discuss with and obtain all relevant information from all personnel, professional or not, involved in the administration and operation of the Plan. The Participant further authorizes the Corporation, any Affiliate and the plan administrators to disclose and discuss the Plan with their advisors. The Participant further authorizes the Corporation and any Affiliate to record such information and to keep such information in the Participant’s employee file. The Participant acknowledges that the Participant’s personal information, including any sensitive personal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7665"/>
                <wp:effectExtent l="0" t="0" r="0" b="0"/>
                <wp:wrapNone/>
                <wp:docPr id="126" name="Frame1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may be transferred or disclosed outside the Province of Quebec, including to the United States. Finally, the Participant acknowledges that the Corporation, the Employer or any other Affiliate or other parties involved in the administration of the Plan use technology for profiling purposes and to make automated decisions that may have an impact on the Participant or the administration of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Foreign Asset/Account Reporting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Foreign specified property (including shares of Common Stock) held by Canadian residents must be reported annually on Form T1135 (Foreign Income Verification Statement) if the total cost of such foreign specified property exceeds C$100,000 at any time during the year. Foreign specified property includes shares of Common Stock acquired under the Plan and may include the RSUs. The RSUs must be reported - generally at a nil cost - if the $100,000 cost threshold is exceeded because of other foreign property the Participant holds. If shares of Common Stock are acquired, their cost generally is the adjusted cost base (“ACB”) of the shares. The ACB would normally equal the Fair Market Value of the shares at vesting, but if the Participant owns other shares, this ACB may have to be averaged with the ACB of the other shares owned by the Participant. If due, the Form must be filed by April 30 of the following year. The Participant should speak with a personal tax advisor to determine the scope of foreign property that must be considered for purposes of this requirement.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CHILE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RSUs are granted and are made subject to general ruling n° 336 of the Chilean Commission for the Financial Market (“CMF”). This offer refers to securities not registered at the securities registry or at the foreign securities registry of the CMF, and therefore such securities are not subject to its oversight. Given that these securities are not registered in Chile, there is no obligation from the issuer to provide public information on them in Chile. These securities cannot be subject to public offering in Chile while they are not registered at the corresponding securities registry in Chile.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La oferta privada de estos RSUs se inicia y se acoge a las disposiciones de la norma de carácter general nº 336 de la Comisón para el Mercado Financiero (“CMF”). Esta oferta versa sobre valores no inscritos en el registro de valores o en el registro de valores extranjeros que lleva la CMF, por lo que tales valores no están sujetos a la fiscalización de ésta. Por tratarse de valores no inscritos en Chile, no existe la obligación por parte del emisor de entregar en Chile información pública respecto de los mismos. Estos valores no podrán ser objeto de oferta pública en Chile mientras no sean inscritos en el registro de valores correspondiente.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is not required to repatriate funds obtained from the sale of shares or the receipt of any dividends. However, if the Participant decides to repatriate such funds, the Participant must do so through the Formal Exchange Market if the amount of the funds exceeds US$10,000. In such case, the Participant must report the payment to a commercial bank or registered foreign exchange office receiving the funds.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 xml:space="preserve">The Chilean Internal Revenue Service (the “CIRS”) requires all taxpayers to provide information annually regarding (i) the results of investments held abroad and (ii) any taxes paid abroad which the taxpayers will use as a credit against Chilean income tax. The sworn statements disclosing this information (or Formularios) must be submitted electronically through the CIRS website, </w:t>
      </w:r>
      <w:r>
        <w:rPr>
          <w:rFonts w:ascii="Arial;sans-serif" w:hAnsi="Arial;sans-serif"/>
          <w:b/>
          <w:color w:val="0E32E1"/>
          <w:sz w:val="20"/>
        </w:rPr>
        <w:t>www.sii.cl</w:t>
      </w:r>
      <w:r>
        <w:rPr>
          <w:rFonts w:ascii="Arial;sans-serif" w:hAnsi="Arial;sans-serif"/>
          <w:b w:val="false"/>
          <w:color w:val="000000"/>
          <w:sz w:val="20"/>
        </w:rPr>
        <w:t>, using Form 1929, which is due on July 1 each year.</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27" name="Frame1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CHINA</w:t>
      </w:r>
    </w:p>
    <w:p>
      <w:pPr>
        <w:pStyle w:val="TextBody"/>
        <w:bidi w:val="0"/>
        <w:spacing w:lineRule="auto" w:line="288" w:before="0" w:after="240"/>
        <w:jc w:val="left"/>
        <w:rPr/>
      </w:pPr>
      <w:r>
        <w:rPr>
          <w:rFonts w:ascii="Arial;sans-serif" w:hAnsi="Arial;sans-serif"/>
          <w:b w:val="false"/>
          <w:color w:val="000000"/>
          <w:sz w:val="20"/>
          <w:u w:val="single"/>
        </w:rPr>
        <w:t>The following provisions apply only to Participants who are subject to exchange control restrictions imposed by the State Administration of Foreign Exchange ("SAFE"), as determined by the Corporation in its sole discretion</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Vesting of RSUs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Participant's Employer, Corporation any other Affiliate to which the Participant provides service must be registered with SAFE prior to settlement of the RSUs. If the Corporation is unable to obtain registration approval or is required to obtain further approvals on behalf of the Employer, Corporation or any other Affiliate, the vesting or settlement of the RSUs may be suspended or delayed. Further, the Corporation is under no obligation to vest the RSUs and/or issues shares of Common Stock if the Corporation’s SAFE approval becomes invalid or ceases to be in effect by the time the Participant vests in the RSUs.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Shutdown or Divestiture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replaces Section 2(d)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event that, more than six months after the Grant Date, the Participant’s termination of employment is due to the shutdown or divestiture of the Corporation’s or its Affiliate’s business, it shall result in pro-rata vesting, as determined by the Committee, and the number of shares that are considered to vest shall be calculated as (1) the total number of RSUs granted under the Award minus the number of RSUs already vested under the Award multiplied by (2) the number of full months of employment during the Restricted Period divided by the number of full months in the Restricted Period. Any fractional share of the Corporation resulting from such a prorated Award shall be rounded to the nearest whole share and shall be paid, along with any other shares earned under such prorated award, within 70 days following the Participant’s termination of employment. For the purposes of this Award, a shutdown or divestiture of the Corporation’s or its Affiliate’s business unit is defined as one for which the charges related to the shutdown or divestiture are accounted for, and reported externally, as an exit activity in the Corporation's applicable SEC filings. The Corporation has complete discretion to determine whether a shutdown or divestiture of a business unit has occurred under the terms of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Termination of Employment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Except for a termination of employment due to the shutdown or divestiture of a business unit, as described above, and notwithstanding any other provision in the Award Agreement, the Participant shall forfeit any unvested Award, including any accrued dividend equivalents, upon any termination of employment including, but not limited to, any termination that is due to a Qualified Termination of Employment, death or Total and Permanent Disability.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acknowledges and agrees that he or she must sell any shares of Common Stock issued to him or her upon vesting of the RSUs as soon as practicable following the Participant's termination of employment for any reason and in no event later than three months following the Participant's termination of employment. The Participant agrees that if he or she continues to hold any of such shares of Common Stock after this time, the shares of Common Stock may be sold by the Corporation’s designated broker on the Participant's behalf at the instruction of the Corporation. Therefore, by accepting the RSUs, the Participant understands and agrees that the Corporation is authorized to, and may in its sole discretion, instruct its designated broker to assist with the mandatory sale of shares of Common Stock (on the Participant’s behalf pursuant to this authorization) and that the Participant expressly authorizes the Corporation’s designated broker to complete the sale of such shares of Common Stock. The Participant acknowledges that the Corporation’s designated broker is under no obligation to arrange for the sale of the shares of Common Stock at any particular price. Upon the sale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7665"/>
                <wp:effectExtent l="0" t="0" r="0" b="0"/>
                <wp:wrapNone/>
                <wp:docPr id="128" name="Frame1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of the shares of Common Stock, the proceeds, less any Tax-Related Items and brokerage fees or commissions will be remitted to the Participant pursuant to the procedures described in the “Exchange Control Information” section below.</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Shares of Common Stock issued to the Participant under the Plan must be maintained in an account with Merrill Lynch or such other broker as may be designated by the Corporation until the shares of Common Stock are sold through that broker. If the Corporation changes its broker, the Participant acknowledges and agrees that the Corporation may transfer any shares of Common Stock issued under the Plan to the new designated broker if necessary for legal or administrative reasons. The Participant agrees to sign any documentation necessary to facilitate the transfer. In addition, the Participant may be required to sell any shares of Common Stock obtained under the Plan if the Corporation determines that the application of such condition is necessary or advisable for China SAFE exchange control, legal or other administrative reasons.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understands and agrees that, to facilitate compliance with exchange control requirements, the Participant will be required to immediately repatriate to China the cash proceeds from the sale of shares of Common Stock acquired upon vesting of the RSUs or from any dividends or dividend equivalents paid on the shares of Common Stock. The Participant further understands that, under local law, such repatriation of the cash proceeds will be effectuated through a special exchange control account established by the Corporation or one of its Affiliates in China, and the Participant hereby consents and agrees that the cash proceeds related to the Participant's participation in the Plan may be transferred to such special account prior to being delivered to the Participant. The Corporation may deliver the proceeds to the Participant in U.S. dollars or local currency at the Corporation's discretion. If the proceeds are paid in U.S. dollars, the Participant understands that he or she will be required to set up a U.S. dollar bank account in China so that the proceeds may be deposited into this account. If the proceeds are converted to local currency, there may be delays in delivering the proceeds to the Participant. The Participant agrees to bear the risk of any currency fluctuation between the time the shares of Common Stock are sold, either through voluntary sale or through a mandatory sale arranged by the Corporation, or proceeds are otherwise realized under the Plan and the time such proceeds are distributed to the Participant through the special exchange control account.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further agrees to comply with any other requirements that may be imposed by the Corporation in the future to facilitate compliance with exchange control requirements in China.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COLOMBIA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shares of Common Stock are not and will not be registered in the Colombian registry of publicly traded securities (Registro Nacional de Valores y Emisores)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2555,2010. In the event that the Corporation, in its sole discretion, determines that the offer of the Awards in Colombia may constitute a “public offer of securities”, the Participant understands and agrees that the Corporation may, in its sole discretion, cease to offer participation in the Plan in Colombia. In the event that the Corporation exercises its discretion to cease offering the Plan in Colombia, the Participant will no longer be permitted to participate in the Plan as of the date established by the Corporation.</w:t>
      </w:r>
    </w:p>
    <w:p>
      <w:pPr>
        <w:pStyle w:val="TextBody"/>
        <w:bidi w:val="0"/>
        <w:spacing w:lineRule="auto" w:line="288" w:before="0" w:after="240"/>
        <w:jc w:val="left"/>
        <w:rPr/>
      </w:pPr>
      <w:r>
        <w:rPr>
          <w:rFonts w:ascii="Arial;sans-serif" w:hAnsi="Arial;sans-serif"/>
          <w:b w:val="false"/>
          <w:i/>
          <w:color w:val="000000"/>
          <w:sz w:val="20"/>
        </w:rPr>
        <w:t>Exchange Control Information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7665"/>
                <wp:effectExtent l="0" t="0" r="0" b="0"/>
                <wp:wrapNone/>
                <wp:docPr id="129"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Colombian residents must register shares of Common Stock acquired under the Plan, regardless of value, with the Central Bank of Colombia (Banco de la República) as foreign investment held abroad. In addition, the liquidation of such investments must be transferred through the Colombian foreign exchange market (e.g., local banks), which includes the obligation of correctly completing and filing the appropriate foreign exchange form (declaración de cambio). The Participant is responsible for complying with applicable exchange control requirements in Colombia.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must file an informative return with the Colombian Tax Office detailing any assets held abroad. If the individual value of any of these assets exceeds a certain threshold, the Participant must describe each asset and indicate the jurisdiction in which it is located, its nature and its value.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Conditions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supplements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that pursuant to Article 128 of the Colombian Labor Code, the Plan and related benefits do not constitute a component of the Participant's “salary” for any legal purpose. To this extent, they will not be included for purposes of calculating any labor benefits, such as legal/fringe benefits, vacation, indemnities, payroll taxes, social insurance contributions and/or any other labor-related amount which may be payable.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COSTA RICA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CZECH REPUBLIC</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Czech National Bank may require the Participant to fulfill certain notification duties in relation to the acquisition of shares of Common Stock and the opening and maintenance of a foreign account (e.g., may be required to report foreign direct investment, financial credits from abroad, investment in foreign securities, and associated collections and payments). However, because exchange control regulations change frequently and without notice, the Participant should consult with his or her personal legal advisor prior to the vesting of the RSUs and the sale of Common Stock to ensure compliance with current regulations. It is the Participant’s responsibility to comply with any applicable Czech exchange control laws.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DOMINICAN REPUBLIC</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ECUADOR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7665"/>
                <wp:effectExtent l="0" t="0" r="0" b="0"/>
                <wp:wrapNone/>
                <wp:docPr id="130"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following year using the electronic form on the tax authorities’ website (www.sri.gob.ec). Penalties will apply to a late filing and it is not possible to seek an extension.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Ecuadorian resident individuals are required to report on an annual basis, all monetary assets held in foreign financial entities in excess of US$100,000. The Participant should consult their legal or tax advisor to ensure compliance with all applicable reporting obligations.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EL SALVADOR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FRANCE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RSUs Not Tax-Qualified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understands that this Award is not intended to be French tax-qualified.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Consent to Receive Information in English</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Agreement providing for the terms and conditions of the Participant’s grant, the Participant confirms having read and understood the documents relating to this grant (the Plan and this Award Agreement) which were provided in English language. The Participant accepts the terms of those documents accordingly.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En acceptant le Contrat d'Attribution décrivant les termes et conditions de l’attribution, le participant confirme ainsi avoir lu et compris les documents relatifs à cette attribution (le Plan U.S. et ce Contrat d'Attribution) qui ont été communiqués en langue anglaise. Le participant accepte les termes en connaissance de cause.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French residents holding shares of Common Stock outside of France or maintaining a foreign bank account are required to report such to the French tax authorities when filing their annual tax returns, including any accounts that were opened, held, used and/or closed during the year. Further, failure to comply could trigger significant penalties.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GERMANY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pPr>
      <w:r>
        <w:rPr>
          <w:rFonts w:ascii="Arial;sans-serif" w:hAnsi="Arial;sans-serif"/>
          <w:b w:val="false"/>
          <w:color w:val="000000"/>
          <w:sz w:val="20"/>
        </w:rPr>
        <w:t>Cross-border payments in excess of €50,000 must be reported monthly to the German Federal Bank (</w:t>
      </w:r>
      <w:r>
        <w:rPr>
          <w:rFonts w:ascii="Arial;sans-serif" w:hAnsi="Arial;sans-serif"/>
          <w:b w:val="false"/>
          <w:i/>
          <w:color w:val="000000"/>
          <w:sz w:val="20"/>
        </w:rPr>
        <w:t>Bundesbank</w:t>
      </w:r>
      <w:r>
        <w:rPr>
          <w:rFonts w:ascii="Arial;sans-serif" w:hAnsi="Arial;sans-serif"/>
          <w:b w:val="false"/>
          <w:color w:val="000000"/>
          <w:sz w:val="20"/>
        </w:rPr>
        <w:t>). If the Participant makes or receives a payment in excess of this amount (including if the Participant acquires shares of Common Stock with a value in excess of this amount or sells shares of Common Stock via a foreign broker, bank or service provider and receives proceeds in excess of this amount and/or if the Corporation withholds or sells shares of Common Stock with a value in excess of this amount to cover Tax-Related Items), the Participant must report the payment and/or the value of the shares of Common Stock withheld or sold to Bundesbank electronically using the “General Statistics Reporting Portal” (“</w:t>
      </w:r>
      <w:r>
        <w:rPr>
          <w:rFonts w:ascii="Arial;sans-serif" w:hAnsi="Arial;sans-serif"/>
          <w:b w:val="false"/>
          <w:i/>
          <w:color w:val="000000"/>
          <w:sz w:val="20"/>
        </w:rPr>
        <w:t>Allgemeine Meldeportal Statistik</w:t>
      </w:r>
      <w:r>
        <w:rPr>
          <w:color w:val="000000"/>
        </w:rPr>
        <w:t>”</w:t>
      </w:r>
      <w:r>
        <w:rPr>
          <w:rFonts w:ascii="Arial;sans-serif" w:hAnsi="Arial;sans-serif"/>
          <w:b w:val="false"/>
          <w:color w:val="000000"/>
          <w:sz w:val="20"/>
        </w:rPr>
        <w:t xml:space="preserve">) available on the </w:t>
      </w:r>
      <w:r>
        <w:rPr>
          <w:rFonts w:ascii="Arial;sans-serif" w:hAnsi="Arial;sans-serif"/>
          <w:b w:val="false"/>
          <w:i/>
          <w:color w:val="000000"/>
          <w:sz w:val="20"/>
        </w:rPr>
        <w:t>Bundesbank’s</w:t>
      </w:r>
      <w:r>
        <w:rPr>
          <w:color w:val="000000"/>
        </w:rPr>
        <w:t xml:space="preserve"> </w:t>
      </w:r>
      <w:r>
        <w:rPr>
          <w:rFonts w:ascii="Arial;sans-serif" w:hAnsi="Arial;sans-serif"/>
          <w:b w:val="false"/>
          <w:color w:val="000000"/>
          <w:sz w:val="20"/>
        </w:rPr>
        <w:t xml:space="preserve">website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7665"/>
                <wp:effectExtent l="0" t="0" r="0" b="0"/>
                <wp:wrapNone/>
                <wp:docPr id="131"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w:t>
      </w:r>
      <w:r>
        <w:rPr>
          <w:rFonts w:ascii="Arial;sans-serif" w:hAnsi="Arial;sans-serif"/>
          <w:b/>
          <w:color w:val="0E32E1"/>
          <w:sz w:val="20"/>
        </w:rPr>
        <w:t>www.bundesbank.de</w:t>
      </w:r>
      <w:r>
        <w:rPr>
          <w:rFonts w:ascii="Arial;sans-serif" w:hAnsi="Arial;sans-serif"/>
          <w:b w:val="false"/>
          <w:color w:val="000000"/>
          <w:sz w:val="20"/>
        </w:rPr>
        <w:t xml:space="preserve">) or via such other method (e.g., by email or telephone) as is permitted or required by Bundesbank. The report must be submitted monthly or within such other timing as is permitted or required by </w:t>
      </w:r>
      <w:r>
        <w:rPr>
          <w:rFonts w:ascii="Arial;sans-serif" w:hAnsi="Arial;sans-serif"/>
          <w:b w:val="false"/>
          <w:i/>
          <w:color w:val="000000"/>
          <w:sz w:val="20"/>
        </w:rPr>
        <w:t>Bundesbank.</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Participant’s acquisition of shares of Common Stock leads to a so-called qualified participation at any point during the calendar year, the Participant will need to report the acquisition when he or she files a tax return for the relevant year. A qualified participation occurs only if (i) the Participant owns 1% or more of the Corporation and the value of the shares of Common Stock exceeds €150,000 or (ii) the Participant holds shares of Common Stock exceeding 10% of the Corporation’s total Common Stock.</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GUATEMALA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Language Waiver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participating in the Plan, the Participant acknowledges that he or she is proficient in reading and understanding English and fully understands the terms of the Plan, or, alternatively, that the Participant will seek appropriate assistance to understand the terms and conditions in the Award Agreement and this Appendix 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HONDURAS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HONG KONG</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Warning</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The offer of this Award and the shares of Common Stock subject to this Award do not constitute a public offering of securities under Hong Kong law and are available only to employees of the Corporation or its Affiliates participating in the Plan. The Participant should be aware that the Plan, the Plan prospectus and the contents of this Award Agreement (i) have not been prepared in accordance with and are not intended to constitute a “prospectus” for a public offering of securities under the applicable securities legislation in Hong Kong, (ii) have not been reviewed by any regulatory authority in Hong Kong, and (iii) are intended only for the personal use of each Participant and may not be distributed to any other person. The Participant is advised to exercise caution in relation to the offer. If the Participant is in any doubt about any of the contents of the Award Agreement, including this Appendix A, or the Plan, the Participant should obtain independent professional advice.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 Payable Only in Shares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Awards granted to Participants in Hong Kong shall be paid in shares of Common Stock only and do not provide any right for the Participant to receive a cash payment.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Sale of Shares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event the Award vests within six months of the Grant Date, the Participant agrees that he or she will not offer to the public or otherwise dispose of the shares acquired prior to the six-month anniversary of the Grant Date. Any shares of Common Stock acquired under the Plan are accepted as a personal investment.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32"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INDIA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India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INDONESIA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Language Consent and Notification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RSUs, the Participant (i) confirms having read and understood the documents relating to this Award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Persetujuan dan Pemberitahuan Bahasa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Dengan menerima pemberian Unit Saham Terbatas ini, Peserta (i) memberikan konfirmasi bahwa dirinya telah membaca dan memahami dokumen-dokumen berkaitan dengan pemberian ini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 (ketika diterbitkan).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general, no exchange control approvals are required in Indonesia. However, foreign exchange activity is subject to certain reporting requirements. For foreign currency transactions exceeding US$25,000, the underlying document of that transaction will have to be submitted to the relevant local bank. </w:t>
      </w:r>
    </w:p>
    <w:p>
      <w:pPr>
        <w:pStyle w:val="TextBody"/>
        <w:bidi w:val="0"/>
        <w:spacing w:lineRule="auto" w:line="288" w:before="0" w:after="240"/>
        <w:jc w:val="left"/>
        <w:rPr/>
      </w:pPr>
      <w:r>
        <w:rPr>
          <w:rFonts w:ascii="Arial;sans-serif" w:hAnsi="Arial;sans-serif"/>
          <w:b w:val="false"/>
          <w:color w:val="000000"/>
          <w:sz w:val="20"/>
        </w:rPr>
        <w:t>If there is a change of position of any foreign asset the Participant holds (including shares of Common Stock acquired under the Plan), the Participant must report this change in position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the sale of shares of Common Stock) to the Bank of Indonesia no later than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day of the month following the change in position. </w:t>
      </w:r>
    </w:p>
    <w:p>
      <w:pPr>
        <w:pStyle w:val="TextBody"/>
        <w:bidi w:val="0"/>
        <w:spacing w:lineRule="auto" w:line="288" w:before="0" w:after="240"/>
        <w:jc w:val="left"/>
        <w:rPr/>
      </w:pPr>
      <w:r>
        <w:rPr>
          <w:rFonts w:ascii="Arial;sans-serif" w:hAnsi="Arial;sans-serif"/>
          <w:b w:val="false"/>
          <w:color w:val="000000"/>
          <w:sz w:val="20"/>
        </w:rPr>
        <w:t>If the Participant repatriates funds (</w:t>
      </w:r>
      <w:r>
        <w:rPr>
          <w:rFonts w:ascii="Arial;sans-serif" w:hAnsi="Arial;sans-serif"/>
          <w:b w:val="false"/>
          <w:i/>
          <w:color w:val="000000"/>
          <w:sz w:val="20"/>
        </w:rPr>
        <w:t>e.g.,</w:t>
      </w:r>
      <w:r>
        <w:rPr>
          <w:color w:val="000000"/>
        </w:rPr>
        <w:t xml:space="preserve"> </w:t>
      </w:r>
      <w:r>
        <w:rPr>
          <w:rFonts w:ascii="Arial;sans-serif" w:hAnsi="Arial;sans-serif"/>
          <w:b w:val="false"/>
          <w:color w:val="000000"/>
          <w:sz w:val="20"/>
        </w:rPr>
        <w:t>proceeds form the sale of shares of Common Stock) into Indonesia, the Indonesian bank through which the transaction is made will submit a report of the transaction to the Bank of Indonesia. For transactions of US$10,000 or more (or its equivalent in local currency), a more details description of the transaction must be included in the report and the Participant may be required to provide information about the transaction to the bank in order to complete the transaction.</w:t>
      </w:r>
      <w:r>
        <w:rPr>
          <w:rFonts w:ascii="Arial;sans-serif" w:hAnsi="Arial;sans-serif"/>
          <w:b/>
          <w:color w:val="000000"/>
          <w:sz w:val="20"/>
        </w:rPr>
        <w:t>ISRAEL</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offer of this Award does not constitute a public offering under Securities Law, 1968.</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33"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Broker Designation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Shares of Common Stock issued to the Participant under the Plan must be maintained in an account with Merrill Lynch or such other broker as may be designated by the Corporation until the shares of Common Stock are sold through that broker.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Restricted from Online Brokerage Transactions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and agrees that he or she will be restricted from online brokerage account transactions the Corporation’s designated broker. Therefore, by accepting the Awards, the Participant understands and agrees that the Participant will call the Corporation’s designated broker to initiate any sale or transfer of any shares of Common Stock issued to him or her upon vesting of the Awards. The Participant acknowledges that the Corporation’s designated broker is under no obligation to arrange for the sale of the shares of Common Stock at any particular price.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ITALY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Plan Document Acknowledgment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accepting the grant of this Award, the Participant acknowledges that he or she has received a copy of the Plan and the Award Agreement and has reviewed the Plan and the Award Agreement, including this Appendix A, in their entirety and fully understands and accepts all provisions of the Plan and the Award Agreement, including this Appendix A.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that he or she has read and specifically and expressly approves the following sections of the Award Agreement: Section 2(g) on Payment of Tax-Related Items; Section 5 on No Right of Continued Employment; Section 8 on Governing Law and Consent to Jurisdiction; the section on Acknowledgment of Conditions; and the Data Privacy Notice section included in this Appendix 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 Tax Information</w:t>
      </w:r>
    </w:p>
    <w:p>
      <w:pPr>
        <w:pStyle w:val="TextBody"/>
        <w:bidi w:val="0"/>
        <w:spacing w:lineRule="auto" w:line="288" w:before="0" w:after="240"/>
        <w:jc w:val="left"/>
        <w:rPr/>
      </w:pPr>
      <w:r>
        <w:rPr>
          <w:rFonts w:ascii="Arial;sans-serif" w:hAnsi="Arial;sans-serif"/>
          <w:b w:val="false"/>
          <w:color w:val="000000"/>
          <w:sz w:val="20"/>
        </w:rPr>
        <w:t>The value of financial assets held outside of Italy (including shares of Common Stock) by Italian residents is subject to a foreign asset tax. The taxable amount will be the fair market value of the financial assets (</w:t>
      </w:r>
      <w:r>
        <w:rPr>
          <w:rFonts w:ascii="Arial;sans-serif" w:hAnsi="Arial;sans-serif"/>
          <w:b w:val="false"/>
          <w:i/>
          <w:color w:val="000000"/>
          <w:sz w:val="20"/>
        </w:rPr>
        <w:t>e.g.</w:t>
      </w:r>
      <w:r>
        <w:rPr>
          <w:rFonts w:ascii="Arial;sans-serif" w:hAnsi="Arial;sans-serif"/>
          <w:b w:val="false"/>
          <w:color w:val="000000"/>
          <w:sz w:val="20"/>
        </w:rPr>
        <w:t>, shares of Common Stock acquired under the Plan) assessed at the end of the calendar year.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KAZAKHSTAN</w:t>
      </w:r>
    </w:p>
    <w:p>
      <w:pPr>
        <w:pStyle w:val="TextBody"/>
        <w:bidi w:val="0"/>
        <w:spacing w:lineRule="auto" w:line="288" w:before="0" w:after="240"/>
        <w:jc w:val="left"/>
        <w:rPr/>
      </w:pPr>
      <w:r>
        <w:rPr>
          <w:rFonts w:ascii="Arial;sans-serif" w:hAnsi="Arial;sans-serif"/>
          <w:b w:val="false"/>
          <w:i/>
          <w:color w:val="000000"/>
          <w:sz w:val="20"/>
        </w:rPr>
        <w:t>Securities Law Notification</w:t>
      </w:r>
      <w:r>
        <w:rPr>
          <w:color w:val="000000"/>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offer is addressed only to certain eligible employees in the form of the shares of Common Stock to be issued by the Corporation. Neither the Plan nor the Award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4"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Residents of Kazakhstan may be required to notify the National Bank of Kazakhstan when they acquire shares of Common Stock under the Plan if the value of such shares of Common Stock exceeds US$100,000.</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Please note that the exchange control regulations in Kazakhstan are subject to change. The Participant should consult with his or her personal legal advisor regarding any exchange control obligations that the Participant may have prior to vesting or receiving proceeds from the sale of shares of Common Stock acquired under the Plan. The Participant is responsible for ensuring compliance with all exchange control laws in Kazakhstan.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KENYA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Registration Notification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Under Tax Procedure Act, 2015, the Participant is required to complete and submit a tax registration application to the Commissioner of Income Tax with 30 days of first vesting of the RSUs. The registration should be completed through the online portal “I TAX” and is a one-time only registration. The Participant is solely responsible for ensuring compliance with all registration requirements in Kenya.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KOREA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Korea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MALAYSIA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Director Notification Obligation </w:t>
      </w:r>
    </w:p>
    <w:p>
      <w:pPr>
        <w:pStyle w:val="TextBody"/>
        <w:bidi w:val="0"/>
        <w:spacing w:lineRule="auto" w:line="288" w:before="0" w:after="240"/>
        <w:jc w:val="left"/>
        <w:rPr/>
      </w:pPr>
      <w:r>
        <w:rPr>
          <w:rFonts w:ascii="Arial;sans-serif" w:hAnsi="Arial;sans-serif"/>
          <w:b w:val="false"/>
          <w:color w:val="000000"/>
          <w:sz w:val="20"/>
        </w:rPr>
        <w:t>If the Participant is a director of the Corporation’s Malaysian Affiliate, the Participant is subject to certain notification requirements under the Malaysian Companies Act. Among these requirements is an obligation to notify the Malaysian Affiliate in writing when the Participant receives or disposes of an interest (</w:t>
      </w:r>
      <w:r>
        <w:rPr>
          <w:rFonts w:ascii="Arial;sans-serif" w:hAnsi="Arial;sans-serif"/>
          <w:b w:val="false"/>
          <w:i/>
          <w:color w:val="000000"/>
          <w:sz w:val="20"/>
        </w:rPr>
        <w:t>e.g.</w:t>
      </w:r>
      <w:r>
        <w:rPr>
          <w:rFonts w:ascii="Arial;sans-serif" w:hAnsi="Arial;sans-serif"/>
          <w:b w:val="false"/>
          <w:color w:val="000000"/>
          <w:sz w:val="20"/>
        </w:rPr>
        <w:t>, an Award or shares) in the Corporation or any related company. Such notifications must be made within 14 days of receiving or disposing of any interest in the Corporation or any related company.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MEXICO</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Modification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understands and agrees that any modification of the Plan or the Award Agreement or its termination shall not constitute a change or impairment of the terms and conditions of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5"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the Grant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accepting the Award, the Participant acknowledges that the Participant has received a copy of the Plan and the Award Agreement, including this Appendix A, has reviewed the Plan and the Award Agreement, including this Appendix A, in their entirety and fully understands and accepts all provisions of the Plan and the Award Agreement, including this Appendix A. The Participant further acknowledges that the Participant has read and specifically and expressly approves the Acknowledgment of Conditions section of the Award Agreement, in which the following is clearly described and established:</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(1)    The Participant’s participation in the Plan does not constitute an acquired right.</w:t>
      </w:r>
    </w:p>
    <w:p>
      <w:pPr>
        <w:pStyle w:val="TextBody"/>
        <w:bidi w:val="0"/>
        <w:spacing w:lineRule="auto" w:line="288" w:before="0" w:after="0"/>
        <w:ind w:left="0" w:right="0" w:hanging="1440"/>
        <w:jc w:val="left"/>
        <w:rPr>
          <w:color w:val="000000"/>
        </w:rPr>
      </w:pPr>
      <w:r>
        <w:rPr>
          <w:color w:val="000000"/>
        </w:rPr>
        <w:t>    </w:t>
      </w:r>
      <w:r>
        <w:rPr>
          <w:rFonts w:ascii="Arial;sans-serif" w:hAnsi="Arial;sans-serif"/>
          <w:b w:val="false"/>
          <w:color w:val="000000"/>
          <w:sz w:val="20"/>
        </w:rPr>
        <w:t>(2)    The Plan and the Participant’s participation in the Plan are offered by the Corporation on a wholly discretionary basis.</w:t>
      </w:r>
    </w:p>
    <w:p>
      <w:pPr>
        <w:pStyle w:val="TextBody"/>
        <w:bidi w:val="0"/>
        <w:spacing w:lineRule="auto" w:line="288" w:before="0" w:after="0"/>
        <w:ind w:left="0" w:right="0" w:hanging="1440"/>
        <w:jc w:val="left"/>
        <w:rPr>
          <w:color w:val="000000"/>
        </w:rPr>
      </w:pPr>
      <w:r>
        <w:rPr>
          <w:color w:val="000000"/>
        </w:rPr>
        <w:t>    </w:t>
      </w:r>
      <w:r>
        <w:rPr>
          <w:rFonts w:ascii="Arial;sans-serif" w:hAnsi="Arial;sans-serif"/>
          <w:b w:val="false"/>
          <w:color w:val="000000"/>
          <w:sz w:val="20"/>
        </w:rPr>
        <w:t>(3)    The Participant’s participation in the Plan is voluntary.</w:t>
      </w:r>
    </w:p>
    <w:p>
      <w:pPr>
        <w:pStyle w:val="TextBody"/>
        <w:bidi w:val="0"/>
        <w:spacing w:lineRule="auto" w:line="288" w:before="0" w:after="0"/>
        <w:ind w:left="0" w:right="0" w:hanging="1440"/>
        <w:jc w:val="left"/>
        <w:rPr>
          <w:color w:val="000000"/>
        </w:rPr>
      </w:pPr>
      <w:r>
        <w:rPr>
          <w:color w:val="000000"/>
        </w:rPr>
        <w:t>    </w:t>
      </w:r>
      <w:r>
        <w:rPr>
          <w:rFonts w:ascii="Arial;sans-serif" w:hAnsi="Arial;sans-serif"/>
          <w:b w:val="false"/>
          <w:color w:val="000000"/>
          <w:sz w:val="20"/>
        </w:rPr>
        <w:t>(4)    Neither the Corporation nor any Affiliates are responsible for any decrease in the value of the Award granted and/or shares of Common Stock issued under the Plan.</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Acknowledgment and Policy Statement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accepting the grant of this Award, the Participant expressly recognizes that the Corporation, with registered offices at 351 Phelps Drive, Irving, Texas 75038, U.S.A., is solely responsible for the administration of the Plan and that the Participant’s participation in the Plan and acquisition of shares of Common Stock do not constitute an employment relationship between the Participant and the Corporation since the Participant is participating in the Plan on a wholly commercial basis and his or her sole Employer is K-C AFC Manufacturing S. de R.L. de C.V. (“KCC-Mexico”). Based on the foregoing, the Participant expressly recognizes that the Plan and the benefits that he or she may derive from participating in the Plan do not establish any rights between the Participant and the Employer, KCC-Mexico and do not form part of the employment conditions and/or benefits provided by KCC-Mexico, and any modification of the Plan or its termination shall not constitute a change or impairment of the terms and conditions of the Participant’s employment.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further understands that his or her participation in the Plan is as a result of a unilateral and discretionary decision of the Corporation; therefore, the Corporation reserves the absolute right to amend and/or discontinue the Participant’s participation at any time without any liability to the Participant.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Finally, the Participant hereby declares that he or she does not reserve to him- or herself any action or right to bring any claim against the Corporation for any compensation or damages regarding any provision of the Plan or the benefits derived under the Plan, and the Participant therefore grants a full and broad release to the Corporation, its Affiliates, branches, representation offices, its shareholders, officers, agents, or legal representatives with respect to any claim that may arise.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Spanish Translation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Modificación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 aceptar el Premio, el Participante entiende y acuerda que cualquier modificación al Plan o al Acuerdo o su terminación, no cambiará o disminuirá los términos y condiciones de empleo.</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Reconocimiento del Otorgamiento</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Al aceptar el Premio, el Participante está de acuerdo en haber recibido una copia del Plan, del Acuerdo incluyendo el presente Anexo “A” y ha revisado el Plan y el Acuerdo, incluyendo este Anexo “A” en su totalidad y comprende y acepta todas las disposiciones previstas en el Plan, en el Acuerdo, incluyendo el presente Anexo “A”. Asimismo, el Participante reconoce que ha leído y manifiesta su específica y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6"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expresa conformidad con los términos y condiciones establecidos del Acuerdo, en el cual claramente se describe y establece lo siguiente:</w:t>
      </w:r>
    </w:p>
    <w:p>
      <w:pPr>
        <w:pStyle w:val="TextBody"/>
        <w:bidi w:val="0"/>
        <w:spacing w:lineRule="auto" w:line="288" w:before="0" w:after="0"/>
        <w:jc w:val="left"/>
        <w:rPr>
          <w:color w:val="000000"/>
        </w:rPr>
      </w:pPr>
      <w:r>
        <w:rPr>
          <w:color w:val="000000"/>
        </w:rPr>
        <w:t>    </w:t>
      </w:r>
      <w:r>
        <w:rPr>
          <w:rFonts w:ascii="Arial;sans-serif" w:hAnsi="Arial;sans-serif"/>
          <w:b w:val="false"/>
          <w:i/>
          <w:color w:val="000000"/>
          <w:sz w:val="20"/>
        </w:rPr>
        <w:t>(1)    La participación del Participante en el Plan no constituye un derecho adquirido.</w:t>
      </w:r>
    </w:p>
    <w:p>
      <w:pPr>
        <w:pStyle w:val="TextBody"/>
        <w:bidi w:val="0"/>
        <w:spacing w:lineRule="auto" w:line="288" w:before="0" w:after="0"/>
        <w:ind w:left="0" w:right="0" w:hanging="1440"/>
        <w:jc w:val="left"/>
        <w:rPr>
          <w:color w:val="000000"/>
        </w:rPr>
      </w:pPr>
      <w:r>
        <w:rPr>
          <w:color w:val="000000"/>
        </w:rPr>
        <w:t>    </w:t>
      </w:r>
      <w:r>
        <w:rPr>
          <w:rFonts w:ascii="Arial;sans-serif" w:hAnsi="Arial;sans-serif"/>
          <w:b w:val="false"/>
          <w:i/>
          <w:color w:val="000000"/>
          <w:sz w:val="20"/>
        </w:rPr>
        <w:t>(2)    El Plan y la participación del Participante en el Plan se ofrecen por la Compañía de forma completamente discrecional.</w:t>
      </w:r>
    </w:p>
    <w:p>
      <w:pPr>
        <w:pStyle w:val="TextBody"/>
        <w:bidi w:val="0"/>
        <w:spacing w:lineRule="auto" w:line="288" w:before="0" w:after="0"/>
        <w:ind w:left="0" w:right="0" w:hanging="1440"/>
        <w:jc w:val="left"/>
        <w:rPr>
          <w:color w:val="000000"/>
        </w:rPr>
      </w:pPr>
      <w:r>
        <w:rPr>
          <w:color w:val="000000"/>
        </w:rPr>
        <w:t>    </w:t>
      </w:r>
      <w:r>
        <w:rPr>
          <w:rFonts w:ascii="Arial;sans-serif" w:hAnsi="Arial;sans-serif"/>
          <w:b w:val="false"/>
          <w:i/>
          <w:color w:val="000000"/>
          <w:sz w:val="20"/>
        </w:rPr>
        <w:t>(3)    La participación del Participante en el Plan es voluntaria.</w:t>
      </w:r>
    </w:p>
    <w:p>
      <w:pPr>
        <w:pStyle w:val="TextBody"/>
        <w:bidi w:val="0"/>
        <w:spacing w:lineRule="auto" w:line="288" w:before="0" w:after="0"/>
        <w:ind w:left="0" w:right="0" w:hanging="1440"/>
        <w:jc w:val="left"/>
        <w:rPr>
          <w:color w:val="000000"/>
        </w:rPr>
      </w:pPr>
      <w:r>
        <w:rPr>
          <w:color w:val="000000"/>
        </w:rPr>
        <w:t>    </w:t>
      </w:r>
      <w:r>
        <w:rPr>
          <w:rFonts w:ascii="Arial;sans-serif" w:hAnsi="Arial;sans-serif"/>
          <w:b w:val="false"/>
          <w:i/>
          <w:color w:val="000000"/>
          <w:sz w:val="20"/>
        </w:rPr>
        <w:t>(4)    Ni la Compañía ni sus Afiliadas son responsables por la reducción del valor del Premio y/o Acciones Ordinarias emitidas bajo el Plan.</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Reconocimiento de la Legislación Laboral y Declaración de la Política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Al aceptar el otorgamiento de este Premio, el Participante expresamente reconoce que Kimberly-Clark Corporación con oficinas registradas en 351 Phelps Drive, Irving, Texas 75038, EE.UU., es la única responsable por la administración del Plan y que la participación del Participante en el Plan y en su caso la adquisición de las Opciones de Compra de Acciones o Acciones no constituyen ni podrán interpretarse como una relación de trabajo entre el Participante y Kimberly-Clark Corporación, ya que el Participante participa en el Plan en un marco totalmente comercial y su único Patrón lo es K-C AFC Manufacturing S. de R.L. de C.V. (“KCC-Mexico”). Derivado de lo anterior, el Participante expresamente reconoce que el Plan y los beneficios que pudieran derivar de la participación en el Plan no establecen derecho alguno entre el Participante y el Patrón, KCC-Mexico y no forma parte de las condiciones de trabajo y/o las prestaciones otorgadas por KCC-Mexico y que cualquier modificación al Plan o su terminación no constituye un cambio o impedimento de los términos y condiciones de la relación de trabajo del Participante.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Asimismo, el Participante reconoce que su participación en el Plan es resultado de una decisión unilateral y discrecional de Kimberly-Clark Corporación por lo tanto, Kimberly-Clark Corporación se reserva el absoluto derecho de modificar y/o terminar la participación del Participante en cualquier momento y sin responsabilidad alguna frente el Participante.</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Finalmente, el Participante por este medio declara que no se reserva derecho o acción alguna que ejercitar en contra de Kimberly-Clark Corporación por cualquier compensación o daño en relación con las disposiciones del Plan o de los beneficios derivados del Plan y por lo tanto, el Participante otorga el más amplio finiquito que en derecho proceda a Kimberly-Clark Corporación, sus afiliadas, subsidiarias, oficinas de representación, sus accionistas, funcionarios, agentes o representantes legales en relación con cualquier demanda que pudiera surgir.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Notification</w:t>
      </w:r>
    </w:p>
    <w:p>
      <w:pPr>
        <w:pStyle w:val="TextBody"/>
        <w:bidi w:val="0"/>
        <w:spacing w:lineRule="auto" w:line="288" w:before="0" w:after="240"/>
        <w:jc w:val="left"/>
        <w:rPr/>
      </w:pPr>
      <w:r>
        <w:rPr>
          <w:rFonts w:ascii="Arial;sans-serif" w:hAnsi="Arial;sans-serif"/>
          <w:b w:val="false"/>
          <w:color w:val="000000"/>
          <w:sz w:val="20"/>
        </w:rPr>
        <w:t>The RSUs and the shares of Common Stock offered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the Participant only because of their existing relationship with the Corporation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Mexican subsidiary of the Corporation made in accordance with the provisions of the Mexican Securities Market Law, and any rights under such offering shall not be assigned or transferred</w:t>
      </w:r>
      <w:r>
        <w:rPr>
          <w:rFonts w:ascii="Arial;sans-serif" w:hAnsi="Arial;sans-serif"/>
          <w:b w:val="false"/>
          <w:i/>
          <w:color w:val="000000"/>
          <w:sz w:val="20"/>
        </w:rPr>
        <w: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NETHERLANDS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7665"/>
                <wp:effectExtent l="0" t="0" r="0" b="0"/>
                <wp:wrapNone/>
                <wp:docPr id="137" name="Frame1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NEW ZEALAND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is being offered RSUs which, if vested, will entitle the Participant to acquire shares of Common Stock in accordance with the terms of the Award Agreement and the Plan. The shares of Common Stock, if issued, will give the Participant a stake in the ownership of the Corporation. The Participant may receive a return if dividends are paid.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Corporation runs into financial difficulties and is wound up, the Participant will be paid only after all creditors and holders of preferred shares (if any) have been paid. The Participant may lose some or all of the Participant’s investment, if any.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the Participant may not be given all the information usually required. The Participant will also have fewer other legal protections for this investment. The Participant is advised to ask questions, read all documents carefully, and seek independent financial advice before committing.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shares of Common Stock are quoted on the National Association of Securities Dealers Automated Quotations (“NASDAQ”). This means that if the Participant acquires shares of Common Stock under the Plan, the Participant may be able to sell the shares of Common Stock on the NASDAQ if there are interested buyers. The Participant may get less than the Participant invested. The price will depend on the demand for the shares of Common Stock.</w:t>
      </w:r>
    </w:p>
    <w:p>
      <w:pPr>
        <w:pStyle w:val="TextBody"/>
        <w:bidi w:val="0"/>
        <w:spacing w:lineRule="auto" w:line="288" w:before="0" w:after="240"/>
        <w:jc w:val="left"/>
        <w:rPr/>
      </w:pPr>
      <w:r>
        <w:rPr>
          <w:rFonts w:ascii="Arial;sans-serif" w:hAnsi="Arial;sans-serif"/>
          <w:b w:val="false"/>
          <w:color w:val="000000"/>
          <w:sz w:val="20"/>
        </w:rPr>
        <w:t xml:space="preserve">For a copy of the Corporation’s most recent financial statements (and, where applicable, a copy of the auditor’s report on those financial statements), as well as information on risk factors impacting the Corporation’s business that may affect the value of the shares of Common Stock, the Participant should refer to the risk factors discussion on the Corporation’s Annual Report on Form 10-K and Quarterly Reports on Form 10-Q, which are filed with the U.S. Securities and Exchange Commission and are available online at </w:t>
      </w:r>
      <w:r>
        <w:rPr>
          <w:rFonts w:ascii="Arial;sans-serif" w:hAnsi="Arial;sans-serif"/>
          <w:b/>
          <w:color w:val="0E32E1"/>
          <w:sz w:val="20"/>
        </w:rPr>
        <w:t>www.sec.gov</w:t>
      </w:r>
      <w:r>
        <w:rPr>
          <w:color w:val="000000"/>
        </w:rPr>
        <w:t xml:space="preserve"> </w:t>
      </w:r>
      <w:r>
        <w:rPr>
          <w:rFonts w:ascii="Arial;sans-serif" w:hAnsi="Arial;sans-serif"/>
          <w:b w:val="false"/>
          <w:color w:val="000000"/>
          <w:sz w:val="20"/>
        </w:rPr>
        <w:t xml:space="preserve">as well as on the Corporation’s “Investor Relations” website at: </w:t>
      </w:r>
      <w:r>
        <w:rPr>
          <w:rFonts w:ascii="Arial;sans-serif" w:hAnsi="Arial;sans-serif"/>
          <w:b/>
          <w:color w:val="0E32E1"/>
          <w:sz w:val="20"/>
        </w:rPr>
        <w:t>https://investor.kimberly-clark.com</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NIGERIA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PANAMA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Neither this Award nor any shares of Common Stock that the Participant may acquire at vesting of this Award constitute a public offering of securities, as they are available only to eligible employees of the Corporation and its Affiliates.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PARAGUAY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38"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PERU</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pPr>
      <w:r>
        <w:rPr>
          <w:rFonts w:ascii="Arial;sans-serif" w:hAnsi="Arial;sans-serif"/>
          <w:b w:val="false"/>
          <w:color w:val="000000"/>
          <w:sz w:val="20"/>
        </w:rPr>
        <w:t xml:space="preserve">The offer of this Award is considered a private offering in Peru; therefore, it is not subject to registration in Peru. For more information concerning the offer, please refer to the Plan, the Award Agreement and any other materials or documentation made available by the Corporation. For more information regarding the Corporation, please refer to the Corporation’s Annual Report on Form 10-K and Quarterly Reports on Form 10-Q, which are filed with the U.S. Securities and Exchange Commission and are available at </w:t>
      </w:r>
      <w:r>
        <w:rPr>
          <w:rFonts w:ascii="Arial;sans-serif" w:hAnsi="Arial;sans-serif"/>
          <w:b/>
          <w:color w:val="0E32E1"/>
          <w:sz w:val="20"/>
        </w:rPr>
        <w:t>www.sec.gov</w:t>
      </w:r>
      <w:r>
        <w:rPr>
          <w:rFonts w:ascii="Arial;sans-serif" w:hAnsi="Arial;sans-serif"/>
          <w:b w:val="false"/>
          <w:color w:val="000000"/>
          <w:sz w:val="20"/>
        </w:rPr>
        <w:t xml:space="preserve">, as well as the Corporation’s “Investor Relations” website at: </w:t>
      </w:r>
      <w:r>
        <w:rPr>
          <w:rFonts w:ascii="Arial;sans-serif" w:hAnsi="Arial;sans-serif"/>
          <w:b/>
          <w:color w:val="0E32E1"/>
          <w:sz w:val="20"/>
        </w:rPr>
        <w:t>https://investor.kimberly-clark.com</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pPr>
      <w:r>
        <w:rPr>
          <w:rFonts w:ascii="Arial;sans-serif" w:hAnsi="Arial;sans-serif"/>
          <w:b w:val="false"/>
          <w:color w:val="000000"/>
          <w:sz w:val="20"/>
        </w:rPr>
        <w:t xml:space="preserve">By accepting the Award, the Participant acknowledges that the RSUs are being granted </w:t>
      </w:r>
      <w:r>
        <w:rPr>
          <w:rFonts w:ascii="Arial;sans-serif" w:hAnsi="Arial;sans-serif"/>
          <w:b w:val="false"/>
          <w:i/>
          <w:color w:val="000000"/>
          <w:sz w:val="20"/>
        </w:rPr>
        <w:t>ex gratia</w:t>
      </w:r>
      <w:r>
        <w:rPr>
          <w:color w:val="000000"/>
        </w:rPr>
        <w:t xml:space="preserve"> </w:t>
      </w:r>
      <w:r>
        <w:rPr>
          <w:rFonts w:ascii="Arial;sans-serif" w:hAnsi="Arial;sans-serif"/>
          <w:b w:val="false"/>
          <w:color w:val="000000"/>
          <w:sz w:val="20"/>
        </w:rPr>
        <w:t xml:space="preserve">to the Participant.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PHILIPPINES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the Philippines do not provide any right for the Participant to receive shares of Common Stock and shall be paid only in cash in an amount equal to the value of the shares of Common Stock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Fringe Benefit Tax Obligation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consents and agrees to assume any and all liability for fringe benefit tax that may be payable by the Corporation and/or the Employer (as determined by the Corporation or the Employer in their discretion) in connection with the Award and any awards previously granted by the Corporation. Further, by accepting the Award, the Participant agrees that the Corporation and/or the Employer may collect the fringe benefit tax from the Participant by any of the means set forth in the Acknowledgment of Conditions section of the Award Agreement, or any other reasonable method established by the Corporation. The Participant agrees to execute other consents or elections to accomplish the foregoing, promptly upon request by the Corporation or the Employer.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POLAND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Polish residents holding foreign securities (e.g., shares of Common Stock) and/or maintaining accounts abroad must report information to the National Bank of Poland on transactions and balances regarding such securities and cash deposited in such accounts if the value of such securities and cash (when combined with all other assets possessed abroad) exceeds certain thresholds. If required, the reports must be filed on a quarterly basis on special forms that are available on the website of the National Bank of Poland. Polish residents should consult with their personal tax advisor to determine their personal reporting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39" name="Frame1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Transfers of funds into and out of Poland in excess of €15,000 (or PLN 15,000 if such transfer of funds is connected with business activity of an entrepreneur) must be made via a bank account held at a bank in Poland. Additionally, Polish residents are required to store all documents connected with any foreign exchange transactions that Polish residents are engaged in for a period of five years, as measured from the end of the year in which such transaction occurred.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PUERTO RICO</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RUSSIA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Russia do not provide any right for the Participant to receive shares of Common Stock and shall be paid only in cash through local payroll in an amount equal to the value of the shares of Common Stock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SAUDI ARABIA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Securities Law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This document may not be distributed in the Kingdom except to such persons as are permitted under the Rules on the Offer of Securities and Continuing Obligations issued by the Capital Market Authority.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the Participant should consult an authorized financial adviser.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SINGAPORE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Sale Restriction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agrees that any shares of Common Stock acquired pursuant to the RSUs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other applicable provisions of the SFA.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grant of the RSUs is being made pursuant to the “Qualifying Person” exemption” under section 273(1)(f) of the SFA under which it is exempt from the prospectus and registration requirements and is not made with a view to the underlying shares of Common Stock being subsequently offered for sale to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7665"/>
                <wp:effectExtent l="0" t="0" r="0" b="0"/>
                <wp:wrapNone/>
                <wp:docPr id="140" name="Frame1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any other party. The Plan has not been and will not be lodged or registered as a prospectus with the Monetary Authority of Singapore.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Director Notification Obligation</w:t>
      </w:r>
    </w:p>
    <w:p>
      <w:pPr>
        <w:pStyle w:val="TextBody"/>
        <w:bidi w:val="0"/>
        <w:spacing w:lineRule="auto" w:line="288" w:before="0" w:after="240"/>
        <w:jc w:val="left"/>
        <w:rPr/>
      </w:pPr>
      <w:r>
        <w:rPr>
          <w:rFonts w:ascii="Arial;sans-serif" w:hAnsi="Arial;sans-serif"/>
          <w:b w:val="false"/>
          <w:color w:val="000000"/>
          <w:sz w:val="20"/>
        </w:rPr>
        <w:t>If the Participant is a director, associate director or shadow director of the Corporation’s Singapore Affiliate, the Participant is subject to certain notification requirements under the Singapore Companies Act (Cap. 50, Rev Ed 2006). Among these requirements is an obligation to notify the Corporation’s Singapore Affiliate in writing when the Participant receives an interest (</w:t>
      </w:r>
      <w:r>
        <w:rPr>
          <w:rFonts w:ascii="Arial;sans-serif" w:hAnsi="Arial;sans-serif"/>
          <w:b w:val="false"/>
          <w:i/>
          <w:color w:val="000000"/>
          <w:sz w:val="20"/>
        </w:rPr>
        <w:t>e.g.</w:t>
      </w:r>
      <w:r>
        <w:rPr>
          <w:rFonts w:ascii="Arial;sans-serif" w:hAnsi="Arial;sans-serif"/>
          <w:b w:val="false"/>
          <w:color w:val="000000"/>
          <w:sz w:val="20"/>
        </w:rPr>
        <w:t>, an Award or shares) in the Corporation or any Affiliate. In addition, the Participant must notify the Corporation’s Singapore Affiliate when he or she sells shares of the Corporation or of any Affiliate (including when the Participant sells shares issued upon vesting and settlement of the Award). These notifications must be made within two business</w:t>
      </w:r>
      <w:r>
        <w:rPr>
          <w:color w:val="000000"/>
          <w:u w:val="single"/>
        </w:rPr>
        <w:t xml:space="preserve"> </w:t>
      </w:r>
      <w:r>
        <w:rPr>
          <w:rFonts w:ascii="Arial;sans-serif" w:hAnsi="Arial;sans-serif"/>
          <w:b w:val="false"/>
          <w:color w:val="000000"/>
          <w:sz w:val="20"/>
        </w:rPr>
        <w:t>days of (i) acquiring or disposing of any interest in the Corporation or any Affiliate, or (ii) any change in a previously-disclosed interest (</w:t>
      </w:r>
      <w:r>
        <w:rPr>
          <w:rFonts w:ascii="Arial;sans-serif" w:hAnsi="Arial;sans-serif"/>
          <w:b w:val="false"/>
          <w:i/>
          <w:color w:val="000000"/>
          <w:sz w:val="20"/>
        </w:rPr>
        <w:t>e.g.</w:t>
      </w:r>
      <w:r>
        <w:rPr>
          <w:rFonts w:ascii="Arial;sans-serif" w:hAnsi="Arial;sans-serif"/>
          <w:b w:val="false"/>
          <w:color w:val="000000"/>
          <w:sz w:val="20"/>
        </w:rPr>
        <w:t>, upon vesting of the Award or when shares of Common Stock acquired under the Plan are subsequently sold). In addition, a notification of the Participant’s interests in the Corporation or any Affiliate must be made within two business</w:t>
      </w:r>
      <w:r>
        <w:rPr>
          <w:color w:val="000000"/>
          <w:u w:val="single"/>
        </w:rPr>
        <w:t xml:space="preserve"> </w:t>
      </w:r>
      <w:r>
        <w:rPr>
          <w:rFonts w:ascii="Arial;sans-serif" w:hAnsi="Arial;sans-serif"/>
          <w:b w:val="false"/>
          <w:color w:val="000000"/>
          <w:sz w:val="20"/>
        </w:rPr>
        <w:t>days of becoming a director, associate director or shadow director.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SLOVAK REPUBLIC</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 xml:space="preserve">If the Participant permanently resides in the Slovak Republic and, apart from being employed, carries on business activities as an independent entrepreneur (in Slovakian, </w:t>
      </w:r>
      <w:r>
        <w:rPr>
          <w:rFonts w:ascii="Arial;sans-serif" w:hAnsi="Arial;sans-serif"/>
          <w:b w:val="false"/>
          <w:i/>
          <w:color w:val="000000"/>
          <w:sz w:val="20"/>
        </w:rPr>
        <w:t>podnikatel</w:t>
      </w:r>
      <w:r>
        <w:rPr>
          <w:rFonts w:ascii="Arial;sans-serif" w:hAnsi="Arial;sans-serif"/>
          <w:b w:val="false"/>
          <w:color w:val="000000"/>
          <w:sz w:val="20"/>
        </w:rPr>
        <w:t>), the Participant will be obligated to report his or her foreign assets (including any foreign securities) to the National Bank of Slovakia (provided that the value of the foreign assets exceeds an amount of €2,000,000). These reports must be submitted on a monthly basis by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the respective calendar month, as well as on a quarterly basis by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day of the calendar month following the respective calendar quarter, using notification form DEV (NBS) 1-12, which may be found at the National Bank of Slovakia’s website at </w:t>
      </w:r>
      <w:r>
        <w:rPr>
          <w:rFonts w:ascii="Arial;sans-serif" w:hAnsi="Arial;sans-serif"/>
          <w:b/>
          <w:color w:val="0E32E1"/>
          <w:sz w:val="20"/>
        </w:rPr>
        <w:t>www.nbs.sk</w:t>
      </w:r>
      <w:r>
        <w:rPr>
          <w:rFonts w:ascii="Arial;sans-serif" w:hAnsi="Arial;sans-serif"/>
          <w:b w:val="false"/>
          <w:color w:val="000000"/>
          <w:sz w:val="20"/>
        </w:rPr>
        <w:t xml:space="preserv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SOUTH AFRICA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agrees to notify the Employer of the amount of any gain realized upon vesting of the Award. If the Participant fails to advise the Employer of the gain realized upon vesting, the Participant may be liable for a fine. The Participant will be responsible for paying any difference between the actual tax liability and the amount withheld.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participate in the Plan, the Participant must comply with exchange control regulations and rulings (the “Exchange Control Regulations”) in South Africa.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Because the Exchange Control Regulations change frequently and without notice, the Participant understands that he or she should consult a legal advisor prior to the acquisition or sale of shares under the Plan to ensure compliance with current regulations. The Participant understands that it is his or her responsibility to comply with South African exchange control laws, and neither the Corporation nor the Employer will be liable for any fines or penalties resulting from failure to comply with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7665"/>
                <wp:effectExtent l="0" t="0" r="0" b="0"/>
                <wp:wrapNone/>
                <wp:docPr id="141" name="Frame1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compliance with South African securities law, the Participant acknowledges that the documents listed below are available for review at the addresses listed below:</w:t>
      </w:r>
    </w:p>
    <w:p>
      <w:pPr>
        <w:pStyle w:val="TextBody"/>
        <w:bidi w:val="0"/>
        <w:spacing w:lineRule="auto" w:line="288" w:before="0" w:after="0"/>
        <w:ind w:left="0" w:right="0" w:hanging="360"/>
        <w:jc w:val="left"/>
        <w:rPr/>
      </w:pPr>
      <w:r>
        <w:rPr>
          <w:rFonts w:ascii="Arial;sans-serif" w:hAnsi="Arial;sans-serif"/>
          <w:b w:val="false"/>
          <w:color w:val="000000"/>
          <w:sz w:val="20"/>
        </w:rPr>
        <w:t xml:space="preserve">a)The Corporation's most recent annual financial statements: </w:t>
      </w:r>
      <w:r>
        <w:rPr>
          <w:rFonts w:ascii="Arial;sans-serif" w:hAnsi="Arial;sans-serif"/>
          <w:b/>
          <w:color w:val="0E32E1"/>
          <w:sz w:val="20"/>
        </w:rPr>
        <w:t>https://investor.kimberly-clark.com</w:t>
      </w:r>
    </w:p>
    <w:p>
      <w:pPr>
        <w:pStyle w:val="TextBody"/>
        <w:bidi w:val="0"/>
        <w:spacing w:before="0" w:after="0"/>
        <w:jc w:val="left"/>
        <w:rPr/>
      </w:pPr>
      <w:r>
        <w:rPr/>
      </w:r>
    </w:p>
    <w:p>
      <w:pPr>
        <w:pStyle w:val="TextBody"/>
        <w:bidi w:val="0"/>
        <w:spacing w:lineRule="auto" w:line="288" w:before="0" w:after="240"/>
        <w:ind w:left="0" w:right="0" w:hanging="360"/>
        <w:jc w:val="left"/>
        <w:rPr/>
      </w:pPr>
      <w:r>
        <w:rPr>
          <w:rFonts w:ascii="Arial;sans-serif" w:hAnsi="Arial;sans-serif"/>
          <w:b w:val="false"/>
          <w:color w:val="000000"/>
          <w:sz w:val="20"/>
        </w:rPr>
        <w:t xml:space="preserve">b)The Corporation's most recent Plan prospectus may be accessed online through Merrill Lynch, or such other stock plan service provider as may be selected by the Corporation in the future, at </w:t>
      </w:r>
      <w:r>
        <w:rPr>
          <w:rFonts w:ascii="Arial;sans-serif" w:hAnsi="Arial;sans-serif"/>
          <w:b/>
          <w:color w:val="0E32E1"/>
          <w:sz w:val="20"/>
        </w:rPr>
        <w:t>www.mybenefits.ml.com</w:t>
      </w:r>
      <w:r>
        <w:rPr>
          <w:color w:val="000000"/>
        </w:rPr>
        <w:t xml:space="preserve"> </w:t>
      </w:r>
      <w:r>
        <w:rPr>
          <w:rFonts w:ascii="Arial;sans-serif" w:hAnsi="Arial;sans-serif"/>
          <w:b w:val="false"/>
          <w:color w:val="000000"/>
          <w:sz w:val="20"/>
        </w:rPr>
        <w:t>in the Document Library.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copy of the above documents will be sent free of charge upon written request to Stock Plan Administrator, P.O. Box 619100, Dallas, Texas 75261-9100. In addition, the Participant should contact his or her tax advisor for specific information concerning his or her personal tax situation with regard to Plan participation.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SPAIN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pPr>
      <w:r>
        <w:rPr>
          <w:rFonts w:ascii="Arial;sans-serif" w:hAnsi="Arial;sans-serif"/>
          <w:b w:val="false"/>
          <w:color w:val="000000"/>
          <w:sz w:val="20"/>
        </w:rPr>
        <w:t xml:space="preserve">No “offer of securities to the public,” as defined under Spanish law, has taken place or will take place in the Spanish territory in connection with the grant of the Award. The Award Agreement (including this Appendix A) has not been, nor will it be, registered with the </w:t>
      </w:r>
      <w:r>
        <w:rPr>
          <w:rFonts w:ascii="Arial;sans-serif" w:hAnsi="Arial;sans-serif"/>
          <w:b w:val="false"/>
          <w:i/>
          <w:color w:val="000000"/>
          <w:sz w:val="20"/>
        </w:rPr>
        <w:t>Comisión Nacional del Mercado de Valores</w:t>
      </w:r>
      <w:r>
        <w:rPr>
          <w:rFonts w:ascii="Arial;sans-serif" w:hAnsi="Arial;sans-serif"/>
          <w:b w:val="false"/>
          <w:color w:val="000000"/>
          <w:sz w:val="20"/>
        </w:rPr>
        <w:t>, and does not constitute a public offering prospectus.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acknowledges that he or she understands and agrees to participation in the Plan and that he or she has received a copy of the Plan.</w:t>
      </w:r>
    </w:p>
    <w:p>
      <w:pPr>
        <w:pStyle w:val="TextBody"/>
        <w:bidi w:val="0"/>
        <w:spacing w:lineRule="auto" w:line="288" w:before="0" w:after="240"/>
        <w:jc w:val="left"/>
        <w:rPr/>
      </w:pPr>
      <w:r>
        <w:rPr>
          <w:rFonts w:ascii="Arial;sans-serif" w:hAnsi="Arial;sans-serif"/>
          <w:b w:val="false"/>
          <w:color w:val="000000"/>
          <w:sz w:val="20"/>
        </w:rPr>
        <w:t>The Participant understands that the Corporation has unilaterally, gratuitously and discretionally decided to grant Awards under the Plan to individuals who may be employees of the Corporation or its Affiliates throughout the world. The decision is a limited decision that is entered into upon the express assumption and condition that (i) any grant will not economically or otherwise bind the Corporation or any of its Affiliates other than as expressly set forth in the Award Agreement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 xml:space="preserve">the RSUs are not to be considered an acquired right or more beneficial condition to be repeated in the future); (ii) the RSUs and the shares of Common Stock acquired under the Plan are not part of any employment or service contract (either with the Corporation or any of its Affiliates) and shall not be considered a mandatory benefit, salary for any purposes (including severance compensation) or any other right whatsoever; and (iii) the RSUs will cease vesting upon the Participant’s termination of employment. Further, the 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be made but for the assumptions and conditions referred to above; thus, the Participant understands, acknowledges and freely accepts that should any or all of the assumptions be mistaken or should any of the conditions not be met for any reason, then the Award shall be null and void.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Further, the Participant understands that the Award is a conditional right. Participant shall forfeit any unvested Award upon termination of employment unless such termination is (i) due to a Qualified Termination of Employment, or (ii) due to death, Total and Permanent Disability, or the shutdown or divestiture of a business unit. Vesting will cease, for example, regardless of whether (1) the Participant is considered to be unfairly dismissed without good cause (i.e., subject to a “despido improcedente”); (2) the Participant is dismissed for disciplinary or objective reasons or due to a collective dismissal; (3) the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7665"/>
                <wp:effectExtent l="0" t="0" r="0" b="0"/>
                <wp:wrapNone/>
                <wp:docPr id="142" name="Frame1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Participant terminates his or her employment or service relationship due to a change of work location, duties or any other employment or contractual condition; and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RSUs that were not vested on the date of termination of the Participant’s employment or service relationship, as described in the Plan and the Award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Corporation) depending on the value of such accounts and instruments and the amount of the transactions during the relevant year as of December 31 of the relevant year.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If the Participant holds rights or assets (</w:t>
      </w:r>
      <w:r>
        <w:rPr>
          <w:rFonts w:ascii="Arial;sans-serif" w:hAnsi="Arial;sans-serif"/>
          <w:b w:val="false"/>
          <w:i/>
          <w:color w:val="000000"/>
          <w:sz w:val="20"/>
        </w:rPr>
        <w:t>e.g.</w:t>
      </w:r>
      <w:r>
        <w:rPr>
          <w:rFonts w:ascii="Arial;sans-serif" w:hAnsi="Arial;sans-serif"/>
          <w:b w:val="false"/>
          <w:color w:val="000000"/>
          <w:sz w:val="20"/>
        </w:rPr>
        <w:t>, shares of Common Stock or cash held in a bank or brokerage account) outside of Spain with a value in excess of €50,000 per type of right or asset (</w:t>
      </w:r>
      <w:r>
        <w:rPr>
          <w:rFonts w:ascii="Arial;sans-serif" w:hAnsi="Arial;sans-serif"/>
          <w:b w:val="false"/>
          <w:i/>
          <w:color w:val="000000"/>
          <w:sz w:val="20"/>
        </w:rPr>
        <w:t>e.g.</w:t>
      </w:r>
      <w:r>
        <w:rPr>
          <w:rFonts w:ascii="Arial;sans-serif" w:hAnsi="Arial;sans-serif"/>
          <w:b w:val="false"/>
          <w:color w:val="000000"/>
          <w:sz w:val="20"/>
        </w:rPr>
        <w:t>, shares of Common Stock, cash, etc.) as of December 31 each year, 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or if the ownership of the assets is transferred or relinquished during the year.  The reporting must be completed by the following March 31.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SWITZERLAND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Neither this document nor any other materials relating to the Awards (i) constitutes a prospectus according to articles 35 et seq. of the Swiss Federal Act on Financial Services (“FinSA”) (ii) may be publicly distributed or otherwise made publicly available in Switzerland to any person other than a participant or (iii) has been or will be filed with, approved or supervised by any Swiss reviewing body according to article 51 FinSA or any Swiss regulatory authority, including the Swiss Financial Market Supervisory Authority (“FINMA”).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TAIWAN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Data Privacy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supplements the data privacy section in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acknowledges that he or she has read and understands the terms regarding collection, processing and transfer of data contained in the Acknowledgment of Conditions section of the Award Agreement and, by participating in the Plan the Participant agrees to such terms. In this regard, upon request of the Corporation or the Employer, the Participant agrees to provide any executed data privacy consent form to the Employer or the Corporation (or any other agreements or consents that may be required by the Employer or the Corporation) that the Corporation and/or the Employer may deem necessary to obtain under the data privacy laws now or in the future. The Participant understands that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67665"/>
                <wp:effectExtent l="0" t="0" r="0" b="0"/>
                <wp:wrapNone/>
                <wp:docPr id="143" name="Frame1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he or she will not be able to participate in the Plan if the Participant fails to execute any such consent or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offer of participation in the Plan is available only for employees of the Corporation and its Affiliates. The offer of participation in the Plan is not a public offer of securities by a Taiwanese company.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Taiwanese residents may acquire and remit foreign currency (including proceeds from the sale of shares of Common Stock or the receipt of dividends) into and out of Taiwan up to US$10,000,000 per year. If the transaction amount is TWD500,000 or more in a single transaction, the Participant must submit a foreign exchange transaction form and also provide supporting documentation to the satisfaction of the remitting bank.</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THAILAND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Participant receives proceeds from the sale of shares of Common Stock or cash dividends in relation to the shares of Common Stock in excess of US$1,000,000 in a single transaction, the Participant must immediately repatriate all the funds to Thailand (or utilize such funds offshore for permissible purposes) and convert the funds to Thai Baht within 360 days of repatriation or deposit the funds in an authorized foreign exchange account in Thailand. The Participant is also required to provide details of the transaction (i.e., identification information and purpose of the transaction) to the receiving bank.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should consult their personal advisor prior to taking any action with respect to remittance of proceeds from the sale of shares of Common Stock into Thailand. The Participant is responsible for ensuring compliance with all exchange control laws in Thailand.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TURKEY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Turkish residents are not permitted to sell shares of Common Stock acquired under the Plan in Turkey. Turkish residents must sell the shares of Common Stock acquired under the Plan outside of Turkey. The Shares are currently traded on the NASDAQ in the U.S. under the ticker symbol “KMB” and shares of Common Stock may be sold on this exchange.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pPr>
      <w:r>
        <w:rPr>
          <w:rFonts w:ascii="Arial;sans-serif" w:hAnsi="Arial;sans-serif"/>
          <w:b w:val="false"/>
          <w:color w:val="000000"/>
          <w:sz w:val="20"/>
        </w:rPr>
        <w:t>Under Turkish law, Turkish residents are permitted to purchase and sell securities or derivatives traded on exchanges abroad only through a financial intermediary licensed in Turkey.  Therefore, the Participant may be required to appoint a Turkish broker to assist him or her with the sale of the shares of Common Stock acquired under the Plan.  </w:t>
      </w:r>
      <w:r>
        <w:rPr>
          <w:rFonts w:ascii="Arial;sans-serif" w:hAnsi="Arial;sans-serif"/>
          <w:b w:val="false"/>
          <w:i/>
          <w:color w:val="000000"/>
          <w:sz w:val="20"/>
        </w:rPr>
        <w:t>The Participant should consult his or her personal legal advisor before selling any shares of Common Stock acquired under the Plan to confirm the applicability of this requirement to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7665"/>
                <wp:effectExtent l="0" t="0" r="0" b="0"/>
                <wp:wrapNone/>
                <wp:docPr id="144" name="Frame1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UKRAINE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Ukraine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Participant through local payroll.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UNITED ARAB EMIRATES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offer of the Award is available only for select employees of the Corporation and its Affiliates and is in the nature of providing employee incentives in the United Arab Emirates. The Plan and the Award Agreement are intended for distribution only to such employees and must not be delivered to, or relied on, by any other person. Prospective purchasers of securities should conduct their own due diligence.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Emirates Securities and Commodities Authority has no responsibility for reviewing or verifying any documents in connection with this statement, including the Plan and the Award Agreement, or any other incidental communication materials distributed in connection with the Award. Further, neither the Ministry of Economy nor the Dubai Department of Economic Development has approved this statement nor taken steps to verify the information set out in it, and has no responsibility for it. Residents of the United Arab Emirates who have any questions regarding the contents of the Plan and the Award Agreement should obtain independent professional advice.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UNITED KINGDOM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information supplements the information regarding Tax-Related Items in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Without limitation to the information regarding Tax-Related Items in the Award Agreement, the Participant agrees that he or she is liable for all Tax-Related Items and hereby covenants to pay all such Tax-Related Items, as and when requested by the Corporation or, if different, the Employer or by HM Revenue &amp; Customs (“HMRC”) (or any other tax authority or any other relevant authority). The Participant agrees to indemnify and keep indemnified the Corporation and/or the Employer for all Tax-Related Items that they are required to pay, or withhold or have paid or will pay to HMRC on the Participant’s behalf (or any other tax authority or any other relevant authority) and authorizes the Corporation and/or the Employer to recover such amounts by any of the means referred to in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the foregoing, if the Participant is an executive officer or director (as within the meaning of Section 13(k) of the U.S. Securities and Exchange Act of 1934, as amended), the Participant understands that he or she may not be able to indemnify the Corporation for the amount of any Tax-Related Items not collected from or paid by the Participant, if the indemnification could be considered a loan. In this case, the Tax-Related Items not collected or paid may constitute a benefit to the Participant on which additional income tax and National Insurance contributions (“NICs”) may be payable.</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7665"/>
                <wp:effectExtent l="0" t="0" r="0" b="0"/>
                <wp:wrapNone/>
                <wp:docPr id="145" name="Frame1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that the Participant ultimately will be responsible for reporting and paying any income tax due on this additional benefit directly to HMRC under the self-assessment regime and for paying to the Corporation or the Employer (as appropriate) the amount of any NICs due on this additional benefit, which the Corporation and/or the Employer may also recover from the Participant at any time thereafter by any of the means referred to in the Acknowledgment of Conditions section of the Award Agreement.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UNITED STATES</w:t>
      </w:r>
    </w:p>
    <w:tbl>
      <w:tblPr>
        <w:tblW w:w="10205" w:type="dxa"/>
        <w:jc w:val="left"/>
        <w:tblInd w:w="0" w:type="dxa"/>
        <w:tblLayout w:type="fixed"/>
        <w:tblCellMar>
          <w:top w:w="28" w:type="dxa"/>
          <w:left w:w="28" w:type="dxa"/>
          <w:bottom w:w="28" w:type="dxa"/>
          <w:right w:w="28" w:type="dxa"/>
        </w:tblCellMar>
      </w:tblPr>
      <w:tblGrid>
        <w:gridCol w:w="349"/>
        <w:gridCol w:w="307"/>
        <w:gridCol w:w="309"/>
        <w:gridCol w:w="2745"/>
        <w:gridCol w:w="2682"/>
        <w:gridCol w:w="3813"/>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9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shd w:fill="FFFFFF"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FFFFF" w:val="clear"/>
              </w:rPr>
              <w:t>Agreement prevents the Participant from discussing or disclosing information about unlawful acts in the workplace, such as harassment or discrimination or any other conduct that the Participant has reason to believe is unlawful.</w:t>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Colorado</w:t>
            </w:r>
          </w:p>
        </w:tc>
        <w:tc>
          <w:tcPr>
            <w:tcW w:w="9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Nothing in this Award Agreement limits the Participant’s ability to disclose or discuss, either orally or in writing, any alleged discriminatory or unfair employment practice. This Award Agreement does not prohibit disclosure of information that arises from the Participant’s general training, knowledge, skill, or experience, whether gained on the job or otherwise, information that is readily ascertainable to the public, or information that the Participant otherwise has a right to disclose as legally protected conduct.</w:t>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Hawaii</w:t>
            </w:r>
          </w:p>
        </w:tc>
        <w:tc>
          <w:tcPr>
            <w:tcW w:w="924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disclosing or discussing sexual harassment or sexual assault occurring in the workplace, at work-related events, between employees, or between an employer and an employee.</w:t>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Illinois</w:t>
            </w:r>
          </w:p>
        </w:tc>
        <w:tc>
          <w:tcPr>
            <w:tcW w:w="9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engaging in protected concerted activity to address work-related issues, including prospective or future concerted activity related to workplace conditions.</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Nothing in this Award Agreement prevents the Participant from making truthful statements or disclosures regarding unlawful employment practices arising under any state or federal rule or law governing employment. </w:t>
            </w:r>
          </w:p>
          <w:p>
            <w:pPr>
              <w:pStyle w:val="TableContents"/>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Nothing in this Award Agreement prevents Participant from reporting any allegations of unlawful conduct to federal, state, or local officials for investigation, including, but not limited to, alleged criminal conduct or unlawful employment practices, or from testifying in administrative, legislative, arbitral, or judicial proceedings concerning alleged criminal conduct or unlawful employment practices, or from participating in depositions in any such proceedings, when required or requested to do so by court order, subpoena or other written government request.</w:t>
            </w:r>
          </w:p>
          <w:p>
            <w:pPr>
              <w:pStyle w:val="TableContents"/>
              <w:bidi w:val="0"/>
              <w:spacing w:lineRule="auto" w:line="288" w:before="0" w:after="120"/>
              <w:jc w:val="left"/>
              <w:rPr/>
            </w:pPr>
            <w:r>
              <w:rPr>
                <w:rFonts w:ascii="Arial;sans-serif" w:hAnsi="Arial;sans-serif"/>
                <w:b w:val="false"/>
                <w:color w:val="000000"/>
                <w:sz w:val="20"/>
                <w:shd w:fill="FFFFFF" w:val="clear"/>
              </w:rPr>
              <w:t>For any disputes arising under Section 19, the choice of law and venue shall be the state of Illinois</w:t>
            </w:r>
            <w:r>
              <w:rPr>
                <w:rFonts w:ascii="Arial;sans-serif" w:hAnsi="Arial;sans-serif"/>
                <w:b w:val="false"/>
                <w:color w:val="000000"/>
                <w:sz w:val="20"/>
              </w:rPr>
              <w:t>.</w:t>
            </w:r>
          </w:p>
        </w:tc>
      </w:tr>
      <w:tr>
        <w:trPr/>
        <w:tc>
          <w:tcPr>
            <w:tcW w:w="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Maine</w:t>
            </w:r>
          </w:p>
        </w:tc>
        <w:tc>
          <w:tcPr>
            <w:tcW w:w="9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rPr>
              <w:t xml:space="preserve">Nothing in this Award Agreement prevents the Participant from </w:t>
            </w:r>
            <w:r>
              <w:rPr>
                <w:rFonts w:ascii="Arial;sans-serif" w:hAnsi="Arial;sans-serif"/>
                <w:b w:val="false"/>
                <w:color w:val="000000"/>
                <w:sz w:val="20"/>
                <w:shd w:fill="FFFFFF" w:val="clear"/>
              </w:rPr>
              <w:t>disclosing or discussing unlawful employment discrimination occurring in the workplace or at work-related events.</w:t>
            </w:r>
          </w:p>
        </w:tc>
      </w:tr>
      <w:tr>
        <w:trPr/>
        <w:tc>
          <w:tcPr>
            <w:tcW w:w="96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Jersey</w:t>
            </w:r>
          </w:p>
        </w:tc>
        <w:tc>
          <w:tcPr>
            <w:tcW w:w="92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left"/>
              <w:rPr/>
            </w:pPr>
            <w:r>
              <w:rPr>
                <w:rFonts w:ascii="Arial;sans-serif" w:hAnsi="Arial;sans-serif"/>
                <w:b w:val="false"/>
                <w:color w:val="000000"/>
                <w:sz w:val="20"/>
                <w:shd w:fill="FEFEFE"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EFEFE" w:val="clear"/>
              </w:rPr>
              <w:t xml:space="preserve">Agreement requires the </w:t>
            </w:r>
            <w:r>
              <w:rPr>
                <w:rFonts w:ascii="Arial;sans-serif" w:hAnsi="Arial;sans-serif"/>
                <w:b w:val="false"/>
                <w:color w:val="000000"/>
                <w:sz w:val="20"/>
              </w:rPr>
              <w:t xml:space="preserve">Participant </w:t>
            </w:r>
            <w:r>
              <w:rPr>
                <w:rFonts w:ascii="Arial;sans-serif" w:hAnsi="Arial;sans-serif"/>
                <w:b w:val="false"/>
                <w:color w:val="000000"/>
                <w:sz w:val="20"/>
                <w:shd w:fill="FEFEFE" w:val="clear"/>
              </w:rPr>
              <w:t>to conceal the details relating to a claim of discrimination, retaliation, or harassment.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7665"/>
                <wp:effectExtent l="0" t="0" r="0" b="0"/>
                <wp:wrapNone/>
                <wp:docPr id="146" name="Frame1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53 of 56</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5"/>
        <w:gridCol w:w="400"/>
        <w:gridCol w:w="292"/>
        <w:gridCol w:w="2928"/>
        <w:gridCol w:w="2532"/>
        <w:gridCol w:w="3598"/>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8" w:type="dxa"/>
            <w:tcBorders/>
            <w:vAlign w:val="center"/>
          </w:tcPr>
          <w:p>
            <w:pPr>
              <w:pStyle w:val="TableContents"/>
              <w:bidi w:val="0"/>
              <w:spacing w:before="0" w:after="283"/>
              <w:jc w:val="left"/>
              <w:rPr>
                <w:sz w:val="4"/>
                <w:szCs w:val="4"/>
              </w:rPr>
            </w:pPr>
            <w:r>
              <w:rPr>
                <w:sz w:val="4"/>
                <w:szCs w:val="4"/>
              </w:rPr>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9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shd w:fill="FEFEFE"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EFEFE" w:val="clear"/>
              </w:rPr>
              <w:t xml:space="preserve">Agreement prevents the </w:t>
            </w:r>
            <w:r>
              <w:rPr>
                <w:rFonts w:ascii="Arial;sans-serif" w:hAnsi="Arial;sans-serif"/>
                <w:b w:val="false"/>
                <w:color w:val="000000"/>
                <w:sz w:val="20"/>
              </w:rPr>
              <w:t xml:space="preserve">Participant </w:t>
            </w:r>
            <w:r>
              <w:rPr>
                <w:rFonts w:ascii="Arial;sans-serif" w:hAnsi="Arial;sans-serif"/>
                <w:b w:val="false"/>
                <w:color w:val="000000"/>
                <w:sz w:val="20"/>
                <w:shd w:fill="FEFEFE" w:val="clear"/>
              </w:rPr>
              <w:t>from (a) disclosing factual information related to any future claim of discrimination or (b) making any disclosure relating to any claim the factual foundation for which involves unlawful discrimination, including discriminatory harassment, or retaliation (including disclosure of the underlying facts and circumstances of the claim).</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c>
          <w:tcPr>
            <w:tcW w:w="9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Nothing in the Award Agreement prevents the Participant from disclosing or discussing conduct (a) that constitutes discrimination prohibited by ORS 659A.030 (Discrimination because of race, color, religion, sex, sexual orientation, gender identity, national origin, marital status, age or expunged juvenile record prohibited), including conduct that constitutes sexual assault, or by ORS 659A.082 (Discrimination against person for service in uniformed service prohibited) or 659A.112 (Employment discrimination), and (b) that occurred between employees or between an employer and an employee in the workplace or at a work-related event that is off the employment premises and coordinated by or through the employer, or between an employer and an employee off the employment premises.</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Rhode Island</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requires that alleged violations of civil rights or alleged unlawful conduct remain confidential.</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Tennessee</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disclosing sexual harassment in the workplace.</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Vermont</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restricts the Participant’s right to oppose, disclose or report sexual harassment.</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Virginia</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requires the Participant to conceal the details relating to a claim of sexual assault or sexual harassment.</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Washington</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Nothing in this Award Agreement (or any other agreement signed by the Participant) prevents the Participant from disclosing or discussing conduct, or the existence of a settlement involving conduct, that the Participant reasonably believed under Washington state, federal, or common law to be illegal discrimination, illegal harassment, illegal retaliation, a wage and hour violation, or sexual assault, or that is recognized as against a clear mandate of public policy. </w:t>
            </w:r>
          </w:p>
        </w:tc>
      </w:tr>
      <w:tr>
        <w:trPr/>
        <w:tc>
          <w:tcPr>
            <w:tcW w:w="114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Wisconsin</w:t>
            </w:r>
          </w:p>
        </w:tc>
        <w:tc>
          <w:tcPr>
            <w:tcW w:w="90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Participant’s confidentiality obligations outlined in Section 19(e) of this Award Agreement with regard to any particular Confidential Information shall commence immediately upon the Participant first having access to such Confidential Information and shall continue during and after employment with the Corporation and its Affiliates until such time as such Confidential Information has become public knowledge other than as a result of the Participant’s breach of this Award Agreement or breach by those acting in concert with the Participant or on the Participant’s behalf, and shall last for two (2) years after the Participant’s employment with the Corporation or its Affiliates ends. Except for “trade secrets” as defined in Wisconsin Statutes §134.90, which are governed by that statute, (a) “Confidential Information” is limited to information that is not generally known to the public (other than through Participant’s disclosure in breach of contract or violation of applicable law) and that would be of value to a competitor if known to that competitor, and (b) the prohibition on disclosure and use of Confidential Information shall apply only (i) during employment and for a period of two years after employment ends and (ii) within the geographic area in which the Corporation and its Affiliates were engaged in business at any time during the most recent three months of Participant’s employment with the Corporation and its Affiliates.</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47" name="Frame1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URUGUAY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VIETNAM</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Vietnam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through local payroll. The Corporation reserves the right to settle the Awards in shares of Common Stock to the extent the Corporation determines it is necessary or advisable for legal or administrative reasons.</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7665"/>
                <wp:effectExtent l="0" t="0" r="0" b="0"/>
                <wp:wrapNone/>
                <wp:docPr id="148" name="Frame1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OFF-CYCLE TIME-VESTED RESTRICTED STOCK UNIT</w:t>
      </w:r>
    </w:p>
    <w:p>
      <w:pPr>
        <w:pStyle w:val="TextBody"/>
        <w:bidi w:val="0"/>
        <w:spacing w:lineRule="auto" w:line="319" w:before="0" w:after="0"/>
        <w:jc w:val="center"/>
        <w:rPr/>
      </w:pPr>
      <w:r>
        <w:rPr>
          <w:rFonts w:ascii="Arial;sans-serif" w:hAnsi="Arial;sans-serif"/>
          <w:b/>
          <w:color w:val="000000"/>
          <w:sz w:val="20"/>
        </w:rPr>
        <w:t>AWARD AGREEMENT</w:t>
      </w:r>
      <w:r>
        <w:rPr>
          <w:color w:val="000000"/>
        </w:rPr>
        <w:t xml:space="preserve">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 xml:space="preserve">APPENDIX B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Subject to Section 19(i), the length of the Participant’s non-competition obligations following termination of employment as set forth in Section 19(b) and/or Section 20(c) of this Award Agreement is based on the Participant’s Salary Grade as of the date of termination of employment: </w:t>
      </w:r>
    </w:p>
    <w:p>
      <w:pPr>
        <w:pStyle w:val="TextBody"/>
        <w:bidi w:val="0"/>
        <w:spacing w:before="0" w:after="0"/>
        <w:jc w:val="left"/>
        <w:rPr/>
      </w:pPr>
      <w:r>
        <w:rPr/>
      </w:r>
    </w:p>
    <w:tbl>
      <w:tblPr>
        <w:tblW w:w="9720" w:type="dxa"/>
        <w:jc w:val="center"/>
        <w:tblInd w:w="0" w:type="dxa"/>
        <w:tblLayout w:type="fixed"/>
        <w:tblCellMar>
          <w:top w:w="28" w:type="dxa"/>
          <w:left w:w="28" w:type="dxa"/>
          <w:bottom w:w="28" w:type="dxa"/>
          <w:right w:w="28" w:type="dxa"/>
        </w:tblCellMar>
      </w:tblPr>
      <w:tblGrid>
        <w:gridCol w:w="852"/>
        <w:gridCol w:w="750"/>
        <w:gridCol w:w="753"/>
        <w:gridCol w:w="2155"/>
        <w:gridCol w:w="2155"/>
        <w:gridCol w:w="305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Salary Grade</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Length of Non-Competition Obligation Following Termination of Employment</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ELT</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Non-ELT Elected Officers</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7</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8</w:t>
            </w:r>
          </w:p>
        </w:tc>
        <w:tc>
          <w:tcPr>
            <w:tcW w:w="73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(1) year</w:t>
            </w:r>
          </w:p>
        </w:tc>
      </w:tr>
    </w:tbl>
    <w:p>
      <w:pPr>
        <w:pStyle w:val="TextBody"/>
        <w:bidi w:val="0"/>
        <w:spacing w:before="0" w:after="44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7665"/>
                <wp:effectExtent l="0" t="0" r="0" b="0"/>
                <wp:wrapNone/>
                <wp:docPr id="149" name="Frame1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56 of 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ANNUAL TIME-VESTED RESTRICTED STOCK UNIT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AWARD AGREEMENT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(Graded Schedule)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Award, granted effective on __________ (the “Grant Date”), by Kimberly-Clark Corporation, a Delaware corporation (hereinafter called the “Corporation”), to ________________ (the “Participant”) is subject to the terms and conditions of the Kimberly-Clark Corporation 2021 Equity Participation Plan (the “Plan”) and the Award Agreement, including any terms and conditions contained in Appendix A and/or Appendix B to the Award Agreement. </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20"/>
          <w:u w:val="single"/>
        </w:rPr>
        <w:t>W</w:t>
      </w:r>
      <w:r>
        <w:rPr>
          <w:color w:val="000000"/>
        </w:rPr>
        <w:t xml:space="preserve"> </w:t>
      </w:r>
      <w:r>
        <w:rPr>
          <w:rFonts w:ascii="Arial;sans-serif" w:hAnsi="Arial;sans-serif"/>
          <w:b w:val="false"/>
          <w:color w:val="000000"/>
          <w:sz w:val="20"/>
          <w:u w:val="single"/>
        </w:rPr>
        <w:t>I</w:t>
      </w:r>
      <w:r>
        <w:rPr>
          <w:color w:val="000000"/>
        </w:rPr>
        <w:t xml:space="preserve"> </w:t>
      </w:r>
      <w:r>
        <w:rPr>
          <w:rFonts w:ascii="Arial;sans-serif" w:hAnsi="Arial;sans-serif"/>
          <w:b w:val="false"/>
          <w:color w:val="000000"/>
          <w:sz w:val="20"/>
          <w:u w:val="single"/>
        </w:rPr>
        <w:t>T</w:t>
      </w:r>
      <w:r>
        <w:rPr>
          <w:color w:val="000000"/>
        </w:rPr>
        <w:t xml:space="preserve"> </w:t>
      </w:r>
      <w:r>
        <w:rPr>
          <w:rFonts w:ascii="Arial;sans-serif" w:hAnsi="Arial;sans-serif"/>
          <w:b w:val="false"/>
          <w:color w:val="000000"/>
          <w:sz w:val="20"/>
          <w:u w:val="single"/>
        </w:rPr>
        <w:t>N</w:t>
      </w:r>
      <w:r>
        <w:rPr>
          <w:color w:val="000000"/>
        </w:rPr>
        <w:t xml:space="preserve"> </w:t>
      </w:r>
      <w:r>
        <w:rPr>
          <w:rFonts w:ascii="Arial;sans-serif" w:hAnsi="Arial;sans-serif"/>
          <w:b w:val="false"/>
          <w:color w:val="000000"/>
          <w:sz w:val="20"/>
          <w:u w:val="single"/>
        </w:rPr>
        <w:t>E</w:t>
      </w:r>
      <w:r>
        <w:rPr>
          <w:color w:val="000000"/>
        </w:rPr>
        <w:t xml:space="preserve"> </w:t>
      </w:r>
      <w:r>
        <w:rPr>
          <w:rFonts w:ascii="Arial;sans-serif" w:hAnsi="Arial;sans-serif"/>
          <w:b w:val="false"/>
          <w:color w:val="000000"/>
          <w:sz w:val="20"/>
          <w:u w:val="single"/>
        </w:rPr>
        <w:t>S</w:t>
      </w:r>
      <w:r>
        <w:rPr>
          <w:color w:val="000000"/>
        </w:rPr>
        <w:t xml:space="preserve"> </w:t>
      </w:r>
      <w:r>
        <w:rPr>
          <w:rFonts w:ascii="Arial;sans-serif" w:hAnsi="Arial;sans-serif"/>
          <w:b w:val="false"/>
          <w:color w:val="000000"/>
          <w:sz w:val="20"/>
          <w:u w:val="single"/>
        </w:rPr>
        <w:t>S</w:t>
      </w:r>
      <w:r>
        <w:rPr>
          <w:color w:val="000000"/>
        </w:rPr>
        <w:t xml:space="preserve"> </w:t>
      </w:r>
      <w:r>
        <w:rPr>
          <w:rFonts w:ascii="Arial;sans-serif" w:hAnsi="Arial;sans-serif"/>
          <w:b w:val="false"/>
          <w:color w:val="000000"/>
          <w:sz w:val="20"/>
          <w:u w:val="single"/>
        </w:rPr>
        <w:t>E</w:t>
      </w:r>
      <w:r>
        <w:rPr>
          <w:color w:val="000000"/>
        </w:rPr>
        <w:t xml:space="preserve"> </w:t>
      </w:r>
      <w:r>
        <w:rPr>
          <w:rFonts w:ascii="Arial;sans-serif" w:hAnsi="Arial;sans-serif"/>
          <w:b w:val="false"/>
          <w:color w:val="000000"/>
          <w:sz w:val="20"/>
          <w:u w:val="single"/>
        </w:rPr>
        <w:t>T</w:t>
      </w:r>
      <w:r>
        <w:rPr>
          <w:color w:val="000000"/>
        </w:rPr>
        <w:t xml:space="preserve"> </w:t>
      </w:r>
      <w:r>
        <w:rPr>
          <w:rFonts w:ascii="Arial;sans-serif" w:hAnsi="Arial;sans-serif"/>
          <w:b w:val="false"/>
          <w:color w:val="000000"/>
          <w:sz w:val="20"/>
          <w:u w:val="single"/>
        </w:rPr>
        <w:t>H</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WHEREAS, the Corporation has adopted the Plan to encourage those employees who materially contribute, by managerial, scientific or other innovative means, to the success of the Corporation or of an Affiliate, to acquire an ownership interest in the Corporation, thereby increasing their motivation for and interest in the Corporation's and its Affiliates' long-term success;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NOW, THEREFORE, it is agreed as follows: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1.    </w:t>
      </w:r>
      <w:r>
        <w:rPr>
          <w:rFonts w:ascii="Arial;sans-serif" w:hAnsi="Arial;sans-serif"/>
          <w:b w:val="false"/>
          <w:color w:val="000000"/>
          <w:sz w:val="20"/>
          <w:u w:val="single"/>
        </w:rPr>
        <w:t>Number of Share Units Granted</w:t>
      </w:r>
      <w:r>
        <w:rPr>
          <w:rFonts w:ascii="Arial;sans-serif" w:hAnsi="Arial;sans-serif"/>
          <w:b w:val="false"/>
          <w:color w:val="000000"/>
          <w:sz w:val="20"/>
        </w:rPr>
        <w:t xml:space="preserve">. The Corporation hereby grants to the Participant the right to receive all or any part of ________ Annual Time-Vested Restricted Stock Units (“RSUs”) of the $1.25 par value Common Stock of the Corporation, subject to the terms, conditions and restrictions set forth herein and in the Plan. </w:t>
      </w:r>
    </w:p>
    <w:p>
      <w:pPr>
        <w:pStyle w:val="TextBody"/>
        <w:bidi w:val="0"/>
        <w:spacing w:before="0" w:after="0"/>
        <w:ind w:left="0" w:right="0" w:hanging="720"/>
        <w:jc w:val="left"/>
        <w:rPr/>
      </w:pPr>
      <w:r>
        <w:rPr/>
      </w:r>
    </w:p>
    <w:p>
      <w:pPr>
        <w:pStyle w:val="TextBody"/>
        <w:bidi w:val="0"/>
        <w:spacing w:lineRule="auto" w:line="288" w:before="0" w:after="0"/>
        <w:jc w:val="left"/>
        <w:rPr/>
      </w:pPr>
      <w:r>
        <w:rPr>
          <w:rFonts w:ascii="Arial;sans-serif" w:hAnsi="Arial;sans-serif"/>
          <w:b w:val="false"/>
          <w:color w:val="000000"/>
          <w:sz w:val="20"/>
        </w:rPr>
        <w:t>2.    </w:t>
      </w:r>
      <w:r>
        <w:rPr>
          <w:rFonts w:ascii="Arial;sans-serif" w:hAnsi="Arial;sans-serif"/>
          <w:b w:val="false"/>
          <w:color w:val="000000"/>
          <w:sz w:val="20"/>
          <w:u w:val="single"/>
        </w:rPr>
        <w:t>Transferability Restrictions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u w:val="single"/>
        </w:rPr>
        <w:t>Restricted Period</w:t>
      </w:r>
      <w:r>
        <w:rPr>
          <w:rFonts w:ascii="Arial;sans-serif" w:hAnsi="Arial;sans-serif"/>
          <w:b w:val="false"/>
          <w:color w:val="000000"/>
          <w:sz w:val="20"/>
        </w:rPr>
        <w:t>. During the Restricted Period, the Participant may not sell, assign, transfer, or otherwise dispose of, or mortgage, pledge or otherwise encumber the Award, and any such attempted sale, assignment, transfer, pledge or disposal shall be void. Except as provided in this Section 2, the RSUs, including any accrued dividend equivalents, shall be subject to forfeiture until the Participant becomes vested in such Awards on the date that was approved on the Grant Date and as reflected on the Merrill Lynch Benefits On-line site, or any successor system, via the Grant Summary screen as the Future Vesting table.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Restricted Period shall begin on the date of the granting of this Award. Thirty percent (30%) of the RSUs will vest on the first anniversary of the Grant Date; thirty percent (30%) of the RSUs will vest on the second anniversary of the Grant Date; and forty percent (40%) of the RSUs will vest on the third anniversary of the Grant Date. During the Restricted Period, holders of Awards shall have none of the rights of a shareholder with respect to the shares of Common Stock that may be earned pursuant to the RSUs, including, but not limited to, any right to receive dividends in cash or other property or other distribution or rights in respect of such shares except as otherwise provided in this Award Agreement, nor any right to vote such shares as the record owner thereof.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During each year in the Restricted Period, the Participant will not be paid dividend equivalents on the unvested RSUs but the Participant will receive a credit equal to dividends declared on the Corporation’s Common Stock which will be reinvested in additional RSUs at the then fair market value of the Corporation’s Common Stock on the date dividends are paid, and the additional RSUs will be accumulated and paid if and when the RSUs vest, based on the actual number of RSUs that vest. In the case of dividends paid in property other than cash, the amount of the dividend shall be deemed to be the fair market value of the property at the time of the payment of the dividend, as determined in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good faith by the Corporation. The Corporation shall not be required to segregate any cash or other property of the Corporation. </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u w:val="single"/>
        </w:rPr>
        <w:t>Termination of Employment</w:t>
      </w:r>
      <w:r>
        <w:rPr>
          <w:rFonts w:ascii="Arial;sans-serif" w:hAnsi="Arial;sans-serif"/>
          <w:b w:val="false"/>
          <w:color w:val="000000"/>
          <w:sz w:val="20"/>
        </w:rPr>
        <w:t xml:space="preserve">. For purposes of this Award, the Participant's employment will be considered terminated as of the date the Participant is no longer actively providing services to the Corporation or one of its Affiliates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Award Agreement or determined by the Corporation, the Participant’s right to receive RSUs and vest in the Award under the Plan, if any, will terminate effective as of such date and will not be extended by any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employed for purposes of the Award (including whether the Participant may still be considered employed while on a leave of absence).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shall forfeit any unvested Award, including any accrued dividend equivalents, upon termination of employment unless such termination is (i) due to a Qualified Termination of Employment, or (ii) if more than six months from the Grant Date due to death, Retirement, Total and Permanent Disability, or the shutdown or divestiture of a business unit. A termination of employment shall not be deemed to have occurred while a Participant is on a military leave or other bona fide leave of absence if the period of such leave does not exceed six months, or if longer, so long as the Participant retains a right to reemployment with the Corporation or an Affiliate under an applicable statute or by contract. For purposes of this sub-section, a leave of absence constitutes a bona fide leave of absence only if there is a reasonable expectation that the Participant will return to perform services for the Corporation or an Affiliate. If the period of leave exceeds six months and the Participant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is substituted for such six-month period in determining whether a termination of employment shall be deemed to have occurred. A termination of employment with the Corporation or an Affiliate to accept immediate reemployment with the Corporation or an Affiliate likewise shall not be deemed to be a termination of employment for the purposes of the Plan. A Participant who is classified as an intermittent employee shall be deemed to have a termination of employment for purposes of the Plan if the level of bona fide services the Participant would perform after such date would permanently decrease to less than 50 percent of the average level of bona fide services performed over the immediately preceding 36-month period (or the full period of services to the Corporation or an Affiliate if the Participant has been providing such services less than 36 months).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For purposes of this Award, a termination of employment includes a termination that is deemed an “unfair dismissal” or a “constructive dismissal.” Further, the Participant understands that the Award is a conditional right. Participant shall forfeit any unvested Award upon termination of employment except as provided above, for example, regardless of whether (1) the Participant is considered to be unfairly dismissed without good cause; (2) the Participant is dismissed for disciplinary or objective reasons or due to a collective dismissal; (3) the Participant terminates his or her employment or service relationship due to a change of work location, duties or any other employment or contractual condition; or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RSUs that were not vested on the date of termination of the Participant’s employment or service relationship, as described in the Plan and the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7665"/>
                <wp:effectExtent l="0" t="0" r="0" b="0"/>
                <wp:wrapNone/>
                <wp:docPr id="151" name="Frame1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 of 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(c)</w:t>
      </w:r>
      <w:r>
        <w:rPr>
          <w:rFonts w:ascii="Arial;sans-serif" w:hAnsi="Arial;sans-serif"/>
          <w:b w:val="false"/>
          <w:color w:val="000000"/>
          <w:sz w:val="20"/>
          <w:u w:val="single"/>
        </w:rPr>
        <w:t>Death, Retirement or Total and Permanent Disability</w:t>
      </w:r>
      <w:r>
        <w:rPr>
          <w:rFonts w:ascii="Arial;sans-serif" w:hAnsi="Arial;sans-serif"/>
          <w:b w:val="false"/>
          <w:color w:val="000000"/>
          <w:sz w:val="20"/>
        </w:rPr>
        <w:t xml:space="preserve">. In the event that more than six months after the Grant Date the Participant’s termination of employment is due to death or Total and Permanent Disability, it shall result in full vesting, as determined by the Committee, and shall be paid, within 70 days following the Participant’s termination of employment or within such later period as permitted by Section 409A of the U.S. Internal Revenue Code of 1986 and the regulations thereunder, as amended from time to time (the “Code”), subject to Section 2(h) below, if applicable. In the event that more than six months after the Grant Date the Participant’s termination of employment is due to Retirement, then provided that, in the sole discretion of the Corporation, (i) no circumstances exist that could lead to a determination that the Participant should be, or could have been, terminated for Cause; and (ii) the Participant has not engaged in conduct that would trigger the right of forfeiture or recoupment under Section 21 of this Award Agreement), it shall result in 100% vesting of any RSUs that are outstanding and unvested under this Award grant and such Award shall be paid 70 days following the Participant’s termination of employment or within such later period as permitted by Section 409A of the Code, subject to Section 2(h) below, if applicable. </w:t>
      </w:r>
    </w:p>
    <w:p>
      <w:pPr>
        <w:pStyle w:val="TextBody"/>
        <w:bidi w:val="0"/>
        <w:spacing w:lineRule="auto" w:line="288" w:before="0" w:after="240"/>
        <w:jc w:val="left"/>
        <w:rPr/>
      </w:pPr>
      <w:r>
        <w:rPr>
          <w:rFonts w:ascii="Arial;sans-serif" w:hAnsi="Arial;sans-serif"/>
          <w:b w:val="false"/>
          <w:color w:val="000000"/>
          <w:sz w:val="20"/>
        </w:rPr>
        <w:t>(d)</w:t>
      </w:r>
      <w:r>
        <w:rPr>
          <w:rFonts w:ascii="Arial;sans-serif" w:hAnsi="Arial;sans-serif"/>
          <w:b w:val="false"/>
          <w:color w:val="000000"/>
          <w:sz w:val="20"/>
          <w:u w:val="single"/>
        </w:rPr>
        <w:t>Shutdown or Divestiture</w:t>
      </w:r>
      <w:r>
        <w:rPr>
          <w:rFonts w:ascii="Arial;sans-serif" w:hAnsi="Arial;sans-serif"/>
          <w:b w:val="false"/>
          <w:color w:val="000000"/>
          <w:sz w:val="20"/>
        </w:rPr>
        <w:t>. In the event that more than six months after the Grant Date the Participant’s termination of employment is due to the shutdown or divestiture of the Corporation’s or its Affiliate’s business it shall result in pro rata vesting, as determined by the Committee, and the number of shares that are considered to vest shall be calculated as (1) the total number of RSUs granted under the Award minus the number of RSUs already vested under the Award multiplied by (2) the number of full months of employment during the Restricted Period divided by 36. Any fractional share of the Corporation resulting from such a prorated award shall be rounded to the nearest whole share and shall be paid, along with any other shares earned under such prorated award, within 70 days following the Participant’s termination of employment or within such later period as permitted by Section 409A of the Code, subject to Section 2(h) below, if applicable. For the purposes of this Award, a shutdown or divestiture of the Corporation’s or its Affiliate’s business unit is defined as one for which the charges related to the shutdown or divestiture are accounted for, and reported externally, as an exit activity in the Corporation's applicable SEC filings. The Corporation has complete discretion to determine whether a shutdown or divestiture of a business unit has occurred under the terms of the Plan.</w:t>
      </w:r>
    </w:p>
    <w:p>
      <w:pPr>
        <w:pStyle w:val="TextBody"/>
        <w:bidi w:val="0"/>
        <w:spacing w:lineRule="auto" w:line="288" w:before="0" w:after="240"/>
        <w:jc w:val="left"/>
        <w:rPr/>
      </w:pPr>
      <w:r>
        <w:rPr>
          <w:rFonts w:ascii="Arial;sans-serif" w:hAnsi="Arial;sans-serif"/>
          <w:b w:val="false"/>
          <w:color w:val="000000"/>
          <w:sz w:val="20"/>
        </w:rPr>
        <w:t>(e)</w:t>
      </w:r>
      <w:r>
        <w:rPr>
          <w:rFonts w:ascii="Arial;sans-serif" w:hAnsi="Arial;sans-serif"/>
          <w:b w:val="false"/>
          <w:color w:val="000000"/>
          <w:sz w:val="20"/>
          <w:u w:val="single"/>
        </w:rPr>
        <w:t>Qualified Termination of Employment</w:t>
      </w:r>
      <w:r>
        <w:rPr>
          <w:rFonts w:ascii="Arial;sans-serif" w:hAnsi="Arial;sans-serif"/>
          <w:b w:val="false"/>
          <w:color w:val="000000"/>
          <w:sz w:val="20"/>
        </w:rPr>
        <w:t xml:space="preserve">. In the event of a Qualified Termination of Employment, all restrictions will lapse and the shares will become fully vested and shall be paid within 10 days following the last day of employment of the Participant with the Corporation or an Affiliate, subject to Section 2(h) below, if applicable. </w:t>
      </w:r>
    </w:p>
    <w:p>
      <w:pPr>
        <w:pStyle w:val="TextBody"/>
        <w:bidi w:val="0"/>
        <w:spacing w:lineRule="auto" w:line="288" w:before="0" w:after="240"/>
        <w:jc w:val="left"/>
        <w:rPr/>
      </w:pPr>
      <w:r>
        <w:rPr>
          <w:rFonts w:ascii="Arial;sans-serif" w:hAnsi="Arial;sans-serif"/>
          <w:b w:val="false"/>
          <w:color w:val="000000"/>
          <w:sz w:val="20"/>
        </w:rPr>
        <w:t>(f)</w:t>
      </w:r>
      <w:r>
        <w:rPr>
          <w:rFonts w:ascii="Arial;sans-serif" w:hAnsi="Arial;sans-serif"/>
          <w:b w:val="false"/>
          <w:color w:val="000000"/>
          <w:sz w:val="20"/>
          <w:u w:val="single"/>
        </w:rPr>
        <w:t>Payment of Awards</w:t>
      </w:r>
      <w:r>
        <w:rPr>
          <w:rFonts w:ascii="Arial;sans-serif" w:hAnsi="Arial;sans-serif"/>
          <w:b w:val="false"/>
          <w:color w:val="000000"/>
          <w:sz w:val="20"/>
        </w:rPr>
        <w:t xml:space="preserve">. Unless otherwise set forth herein, the payment of the Award shall be made in shares of Common Stock and the payment of an Award shall be made within 70 days following the end of the Restricted Period. </w:t>
      </w:r>
    </w:p>
    <w:p>
      <w:pPr>
        <w:pStyle w:val="TextBody"/>
        <w:bidi w:val="0"/>
        <w:spacing w:lineRule="auto" w:line="288" w:before="0" w:after="240"/>
        <w:jc w:val="left"/>
        <w:rPr/>
      </w:pPr>
      <w:r>
        <w:rPr>
          <w:rFonts w:ascii="Arial;sans-serif" w:hAnsi="Arial;sans-serif"/>
          <w:b w:val="false"/>
          <w:color w:val="000000"/>
          <w:sz w:val="20"/>
        </w:rPr>
        <w:t>(g)</w:t>
      </w:r>
      <w:r>
        <w:rPr>
          <w:rFonts w:ascii="Arial;sans-serif" w:hAnsi="Arial;sans-serif"/>
          <w:b w:val="false"/>
          <w:color w:val="000000"/>
          <w:sz w:val="20"/>
          <w:u w:val="single"/>
        </w:rPr>
        <w:t>Payment of Tax-Related Items</w:t>
      </w:r>
      <w:r>
        <w:rPr>
          <w:rFonts w:ascii="Arial;sans-serif" w:hAnsi="Arial;sans-serif"/>
          <w:b w:val="false"/>
          <w:color w:val="000000"/>
          <w:sz w:val="20"/>
        </w:rPr>
        <w:t>. No shares of Common Stock, nor any cash payment, may be delivered under this Award, unless prior to or simultaneously with such issuance, the Participant or, in the event of his death, the person succeeding to his rights hereunder, shall pay to the Corporation or an Affiliate, as applicable, such amount as the Corporation advises is required under applicable federal, state or local laws to withhold and pay over to governmental taxing authorities in relation to this Award. The Corporation may, in its discretion, withhold payment of required Tax-Related items (as defined in the Acknowledgment of Conditions section) with cash or shares of Common Stock which otherwise would be delivered following the date of vesting of the Award under this Section 2.</w:t>
      </w:r>
    </w:p>
    <w:p>
      <w:pPr>
        <w:pStyle w:val="TextBody"/>
        <w:bidi w:val="0"/>
        <w:spacing w:lineRule="auto" w:line="288" w:before="0" w:after="240"/>
        <w:jc w:val="left"/>
        <w:rPr/>
      </w:pPr>
      <w:r>
        <w:rPr>
          <w:rFonts w:ascii="Arial;sans-serif" w:hAnsi="Arial;sans-serif"/>
          <w:b w:val="false"/>
          <w:color w:val="000000"/>
          <w:sz w:val="20"/>
        </w:rPr>
        <w:t>(h)</w:t>
      </w:r>
      <w:r>
        <w:rPr>
          <w:rFonts w:ascii="Arial;sans-serif" w:hAnsi="Arial;sans-serif"/>
          <w:b w:val="false"/>
          <w:color w:val="000000"/>
          <w:sz w:val="20"/>
          <w:u w:val="single"/>
        </w:rPr>
        <w:t>Payments to Key Employees</w:t>
      </w:r>
      <w:r>
        <w:rPr>
          <w:rFonts w:ascii="Arial;sans-serif" w:hAnsi="Arial;sans-serif"/>
          <w:b w:val="false"/>
          <w:color w:val="000000"/>
          <w:sz w:val="20"/>
        </w:rPr>
        <w:t xml:space="preserve">. Notwithstanding anything in this Agreement to the contrary, to the extent that the Award may constitute “nonqualified deferred compensation” within the meaning of Section 409A of the Code, the payment of an Award to a Key Employee who has separated from service due to a Qualified Termination of Employment, a Total and Permanent Disability or Retirement, or a shutdown or divestiture of the Corporation’s or its Affiliate’s business (pursuant to Sections 2(c), 2(d) or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7665"/>
                <wp:effectExtent l="0" t="0" r="0" b="0"/>
                <wp:wrapNone/>
                <wp:docPr id="152" name="Frame1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2(e) above, respectively) shall be made at the earlier of the first day of the seventh month following the date of separation from service or the end of the Restricted Period. A Key Employee is any Participant who meets the definition of a specified employee as defined in Section 409A(a)(2)(B)(i) of the Code and the regulations promulgated thereunder.</w:t>
      </w:r>
    </w:p>
    <w:p>
      <w:pPr>
        <w:pStyle w:val="TextBody"/>
        <w:bidi w:val="0"/>
        <w:spacing w:lineRule="auto" w:line="288" w:before="0" w:after="0"/>
        <w:jc w:val="left"/>
        <w:rPr/>
      </w:pPr>
      <w:r>
        <w:rPr>
          <w:rFonts w:ascii="Arial;sans-serif" w:hAnsi="Arial;sans-serif"/>
          <w:b w:val="false"/>
          <w:color w:val="000000"/>
          <w:sz w:val="20"/>
        </w:rPr>
        <w:t>3.    </w:t>
      </w:r>
      <w:r>
        <w:rPr>
          <w:rFonts w:ascii="Arial;sans-serif" w:hAnsi="Arial;sans-serif"/>
          <w:b w:val="false"/>
          <w:color w:val="000000"/>
          <w:sz w:val="20"/>
          <w:u w:val="single"/>
        </w:rPr>
        <w:t>Nontransferability</w:t>
      </w:r>
      <w:r>
        <w:rPr>
          <w:rFonts w:ascii="Arial;sans-serif" w:hAnsi="Arial;sans-serif"/>
          <w:b w:val="false"/>
          <w:color w:val="000000"/>
          <w:sz w:val="20"/>
        </w:rPr>
        <w:t xml:space="preserve">. Neither the Award nor the Participant’s right to receive payment for vested Awards may be assigned or transferred except upon the death of the Participant (i) by will or (ii) by the laws of descent and distribution.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4.    </w:t>
      </w:r>
      <w:r>
        <w:rPr>
          <w:rFonts w:ascii="Arial;sans-serif" w:hAnsi="Arial;sans-serif"/>
          <w:b w:val="false"/>
          <w:color w:val="000000"/>
          <w:sz w:val="20"/>
          <w:u w:val="single"/>
        </w:rPr>
        <w:t>Compliance with Law</w:t>
      </w:r>
      <w:r>
        <w:rPr>
          <w:rFonts w:ascii="Arial;sans-serif" w:hAnsi="Arial;sans-serif"/>
          <w:b w:val="false"/>
          <w:color w:val="000000"/>
          <w:sz w:val="20"/>
        </w:rPr>
        <w:t>. No payment may be made under this Award, unless prior to the issuance thereof, the Corporation shall have received an opinion of counsel to the effect that this Award by the Corporation to the Participant will not constitute a violation of the U.S. Securities Act of 1933, as amended. As a condition of this Award, the Participant shall, if requested by the Corporation, submit a written statement in form satisfactory to counsel for the Corporation, to the effect that any shares received under this Award shall be for investment and not with a view to the distribution thereof within the meaning of the U.S. Securities Act of 1933, as amended, and the Corporation shall have the right, in its discretion, to cause the certificates representing shares hereunder to be appropriately legended to refer to such undertaking or to any legal restrictions imposed upon the transferability thereof by reason of such undertaking.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Award granted hereby is subject to the condition that if the listing, registration or qualification of the shares subject hereto on any securities exchange or under any state or federal law, or if the consent or approval of any regulatory body shall be necessary as a condition of, or in connection with, the granting of the Award or the delivery of shares thereunder, such shares may not be delivered unless and until such listing, registration, qualification, consent or approval shall have been effected or obtained. The Corporation agrees to use its best efforts to obtain any such requisite listing, registration, qualification, consent or approval.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is solely responsible for obtaining/providing whatever exchange control approvals, permits, licenses, or notices, which may be necessary for the Participant to hold the Award, or to receive any payment of cash or shares or to hold or sell the shares subject to the Award, if any. Neither the Corporation nor its Affiliates will be responsible for obtaining any such approvals, licenses or permits, or for making any such notices, nor will the Corporation or its Affiliates be liable for any fines or penalties the Participant may incur for failure to obtain any required approvals, permits or licenses or to make any required notices.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5.    </w:t>
      </w:r>
      <w:r>
        <w:rPr>
          <w:rFonts w:ascii="Arial;sans-serif" w:hAnsi="Arial;sans-serif"/>
          <w:b w:val="false"/>
          <w:color w:val="000000"/>
          <w:sz w:val="20"/>
          <w:u w:val="single"/>
        </w:rPr>
        <w:t>No Right of Continued Employment</w:t>
      </w:r>
      <w:r>
        <w:rPr>
          <w:rFonts w:ascii="Arial;sans-serif" w:hAnsi="Arial;sans-serif"/>
          <w:b w:val="false"/>
          <w:color w:val="000000"/>
          <w:sz w:val="20"/>
        </w:rPr>
        <w:t>. The granting of this Award does not confer upon the Participant any legal right to be continued in the employ of the Corporation or its Affiliates, and the Corporation and its Affiliates reserve the right to discharge the Participant whenever the interest of the Corporation or its Affiliates may so require without liability to the Corporation or its Affiliates, the Board of Directors of the Corporation or its Affiliates, or the Committee, except as to any rights which may be expressly conferred on the Participant under this Award.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6.    </w:t>
      </w:r>
      <w:r>
        <w:rPr>
          <w:rFonts w:ascii="Arial;sans-serif" w:hAnsi="Arial;sans-serif"/>
          <w:b w:val="false"/>
          <w:color w:val="000000"/>
          <w:sz w:val="20"/>
          <w:u w:val="single"/>
        </w:rPr>
        <w:t>Discretion of the Corporation, Board of Directors and the Committee</w:t>
      </w:r>
      <w:r>
        <w:rPr>
          <w:rFonts w:ascii="Arial;sans-serif" w:hAnsi="Arial;sans-serif"/>
          <w:b w:val="false"/>
          <w:color w:val="000000"/>
          <w:sz w:val="20"/>
        </w:rPr>
        <w:t xml:space="preserve">. Any decision made or action taken by the Corporation or by the Board of Directors of the Corporation or by the Committee arising out of or in connection with the construction, administration, interpretation and effect of this Award shall be within the absolute discretion of the Corporation, the Board of Directors of the Corporation or the Committee, as the case may be, and shall be conclusive and binding upon all persons.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7.    </w:t>
      </w:r>
      <w:r>
        <w:rPr>
          <w:rFonts w:ascii="Arial;sans-serif" w:hAnsi="Arial;sans-serif"/>
          <w:b w:val="false"/>
          <w:color w:val="000000"/>
          <w:sz w:val="20"/>
          <w:u w:val="single"/>
        </w:rPr>
        <w:t>Inalienability of Benefits and Interest</w:t>
      </w:r>
      <w:r>
        <w:rPr>
          <w:rFonts w:ascii="Arial;sans-serif" w:hAnsi="Arial;sans-serif"/>
          <w:b w:val="false"/>
          <w:color w:val="000000"/>
          <w:sz w:val="20"/>
        </w:rPr>
        <w:t xml:space="preserve">. This Award and the rights and privileges conferred hereby shall not be subject in any manner to anticipation, alienation, sale, transfer, assignment, pledge, encumbrance or charge, and any such attempted action shall be void and no such benefit or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7665"/>
                <wp:effectExtent l="0" t="0" r="0" b="0"/>
                <wp:wrapNone/>
                <wp:docPr id="153" name="Frame1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shall be in any manner liable for or subject to debts, contracts, liabilities, engagements, or torts of the Participant.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8.    </w:t>
      </w:r>
      <w:r>
        <w:rPr>
          <w:rFonts w:ascii="Arial;sans-serif" w:hAnsi="Arial;sans-serif"/>
          <w:b w:val="false"/>
          <w:color w:val="000000"/>
          <w:sz w:val="20"/>
          <w:u w:val="single"/>
        </w:rPr>
        <w:t>Governing Law and Consent to Jurisdiction</w:t>
      </w:r>
      <w:r>
        <w:rPr>
          <w:rFonts w:ascii="Arial;sans-serif" w:hAnsi="Arial;sans-serif"/>
          <w:b w:val="false"/>
          <w:color w:val="000000"/>
          <w:sz w:val="20"/>
        </w:rPr>
        <w:t>. Subject to Section 19(i) below, all questions pertaining to the construction, interpretation, regulation, validity and effect of the provisions of this Award and any rights under the Plan shall be determined in accordance with the laws of the State of Delaware. The Corporation, its Affiliates, and the Participant (a) hereby irrevocably submit to the exclusive jurisdiction of the state and federal courts in the State of Delaware for the purposes of any claim or action arising out of or based upon this Award Agreement or relating to the subject matter hereof; (b) hereby waive, to the extent not prohibited by applicable law, and agree not to assert by way of motion, as a defense or otherwise, in any such claim or action, any claim that it, he or she is not subject personally to the jurisdiction of the above-named courts, that its, his or her property is exempt or immune from attachment or execution, that any such proceeding brought in the above-named court is improper or that this Award Agreement or the subject matter hereof may not be enforced in or by such court; and (c) hereby agree not to commence any claim or action arising out of or based upon this Award Agreement or relating to the subject matter hereof other than before the above-named courts nor to make any motion or take any other action seeking or intending to cause the transfer or removal of any such claim or action to any court other than the above-named courts whether on the grounds of inconvenient forum or otherwise; provided, however, that the Corporation, its Affiliates, and the Participant may seek to enforce a judgment issued by the above-named courts in any proper jurisdiction. The Corporation, its Affiliates, and the Participant hereby consent to service of process in any such proceeding, and agree that service of process by registered or certified mail, return receipt requested is reasonably calculated to give actual notice.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9.    </w:t>
      </w:r>
      <w:r>
        <w:rPr>
          <w:rFonts w:ascii="Arial;sans-serif" w:hAnsi="Arial;sans-serif"/>
          <w:b w:val="false"/>
          <w:color w:val="000000"/>
          <w:sz w:val="20"/>
          <w:u w:val="single"/>
        </w:rPr>
        <w:t>Purchase of Common Stock</w:t>
      </w:r>
      <w:r>
        <w:rPr>
          <w:rFonts w:ascii="Arial;sans-serif" w:hAnsi="Arial;sans-serif"/>
          <w:b w:val="false"/>
          <w:color w:val="000000"/>
          <w:sz w:val="20"/>
        </w:rPr>
        <w:t>. The Corporation and its Affiliates may, but shall not be required to, purchase shares of Common Stock of the Corporation for purposes of satisfying the requirements of this Award. The Corporation and its Affiliates shall have no obligation to retain and shall have the unlimited right to sell or otherwise deal with for their own account, any shares of Common Stock of the Corporation purchased for satisfying the requirements of this Award.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10.    </w:t>
      </w:r>
      <w:r>
        <w:rPr>
          <w:rFonts w:ascii="Arial;sans-serif" w:hAnsi="Arial;sans-serif"/>
          <w:b w:val="false"/>
          <w:color w:val="000000"/>
          <w:sz w:val="20"/>
          <w:u w:val="single"/>
        </w:rPr>
        <w:t>Notices</w:t>
      </w:r>
      <w:r>
        <w:rPr>
          <w:rFonts w:ascii="Arial;sans-serif" w:hAnsi="Arial;sans-serif"/>
          <w:b w:val="false"/>
          <w:color w:val="000000"/>
          <w:sz w:val="20"/>
        </w:rPr>
        <w:t>. Any notice to be given to the Corporation under this Award, except as required under Sections 19 and 20 below, shall be addressed to the Corporation in care of its Chief Human Resources Officer at Kimberly Clark, 351 Phelps Drive Irving, TX 75038, USA, and any notice to be given to the Participant under the terms of this Award may be addressed to him or her at the address as it appears on the Corporation's records, or at such other address as either party may hereafter designate in writing to the other. Any such notice shall be deemed to have been duly given if and when enclosed in a properly sealed envelope or wrapper addressed as aforesaid, registered and deposited, postage and registry fee prepaid, in a post office or branch post office regularly maintained by the United States Government or any equivalent non-U.S. postal service.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11.    </w:t>
      </w:r>
      <w:r>
        <w:rPr>
          <w:rFonts w:ascii="Arial;sans-serif" w:hAnsi="Arial;sans-serif"/>
          <w:b w:val="false"/>
          <w:color w:val="000000"/>
          <w:sz w:val="20"/>
          <w:u w:val="single"/>
        </w:rPr>
        <w:t>Changes in Capitalization</w:t>
      </w:r>
      <w:r>
        <w:rPr>
          <w:rFonts w:ascii="Arial;sans-serif" w:hAnsi="Arial;sans-serif"/>
          <w:b w:val="false"/>
          <w:color w:val="000000"/>
          <w:sz w:val="20"/>
        </w:rPr>
        <w:t>. In the event there are any changes in the Common Stock or the capitalization of the Corporation through a corporate transaction, such as any merger, any acquisition through the issuance of capital stock of the Corporation, any consolidation, any separation of the Corporation (including a spin-off or other distribution of stock of the Corporation), any reorganization of the Corporation (whether or not such reorganization comes within the definition of such term in Section 368 of the Code), or any partial or complete liquidation by the Corporation, recapitalization, stock dividend, stock split or other change in the corporate structure, appropriate adjustments and changes shall be made by the Committee in (a) the number and type or class of shares subject to this Award, and (b) such other provisions of this Award as may be necessary and equitable to carry out the foregoing purposes.</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12.    </w:t>
      </w:r>
      <w:r>
        <w:rPr>
          <w:rFonts w:ascii="Arial;sans-serif" w:hAnsi="Arial;sans-serif"/>
          <w:b w:val="false"/>
          <w:color w:val="000000"/>
          <w:sz w:val="20"/>
          <w:u w:val="single"/>
        </w:rPr>
        <w:t>Effect on Other Plans</w:t>
      </w:r>
      <w:r>
        <w:rPr>
          <w:rFonts w:ascii="Arial;sans-serif" w:hAnsi="Arial;sans-serif"/>
          <w:b w:val="false"/>
          <w:color w:val="000000"/>
          <w:sz w:val="20"/>
        </w:rPr>
        <w:t xml:space="preserve">. All benefits under this Award shall constitute special incentives and shall not affect the level of benefits provided to or received by the Participant (or the Participant's estate or beneficiaries) as part of any employee benefit plan of the Corporation or an Affiliate. This Award shall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67665"/>
                <wp:effectExtent l="0" t="0" r="0" b="0"/>
                <wp:wrapNone/>
                <wp:docPr id="154" name="Frame1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be construed to affect in any way the Participant's rights and obligations under any other plan maintained by the Corporation or an Affiliate on behalf of employees.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13.    </w:t>
      </w:r>
      <w:r>
        <w:rPr>
          <w:rFonts w:ascii="Arial;sans-serif" w:hAnsi="Arial;sans-serif"/>
          <w:b w:val="false"/>
          <w:color w:val="000000"/>
          <w:sz w:val="20"/>
          <w:u w:val="single"/>
        </w:rPr>
        <w:t>Discretionary Nature of Award</w:t>
      </w:r>
      <w:r>
        <w:rPr>
          <w:rFonts w:ascii="Arial;sans-serif" w:hAnsi="Arial;sans-serif"/>
          <w:b w:val="false"/>
          <w:color w:val="000000"/>
          <w:sz w:val="20"/>
        </w:rPr>
        <w:t>. The grant of an Award is a one-time benefit and does not create any contractual or other right to receive a grant of Awards or benefits in lieu of Awards in the future. Future grants, if any, will be at the sole discretion of the Corporation, including, but not limited to, the timing of any grant, the number of RSUs and vesting provisions. The value of the Award is an extraordinary item outside the scope of the Participant’s employment contract, if any. As such, the Award is not part of normal or expected compensation for purposes of calculating any severance, resignation, termination, redundancy, dismissal, end of service payments, bonuses, long-service awards, leave-related payments, holiday pay, pension, retirement or welfare benefits or similar payments.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14.    </w:t>
      </w:r>
      <w:r>
        <w:rPr>
          <w:rFonts w:ascii="Arial;sans-serif" w:hAnsi="Arial;sans-serif"/>
          <w:b w:val="false"/>
          <w:color w:val="000000"/>
          <w:sz w:val="20"/>
          <w:u w:val="single"/>
        </w:rPr>
        <w:t>Data Privacy</w:t>
      </w:r>
      <w:r>
        <w:rPr>
          <w:rFonts w:ascii="Arial;sans-serif" w:hAnsi="Arial;sans-serif"/>
          <w:b w:val="false"/>
          <w:color w:val="000000"/>
          <w:sz w:val="20"/>
        </w:rPr>
        <w:t>. The Participant hereby authorizes their actual employer (the “Employer”) to furnish the Corporation (and any agent of the Corporation administering the Plan or providing Plan recordkeeping services) with such information and data as it shall request in order to facilitate the grant of Awards and administration of the Plan and the Participant waives any data privacy rights such Participant might otherwise have with respect to such information.</w:t>
      </w:r>
      <w:r>
        <w:rPr>
          <w:color w:val="000000"/>
        </w:rPr>
        <w:t xml:space="preserve"> </w:t>
      </w:r>
      <w:r>
        <w:rPr>
          <w:rFonts w:ascii="Arial;sans-serif" w:hAnsi="Arial;sans-serif"/>
          <w:b w:val="false"/>
          <w:color w:val="000000"/>
          <w:sz w:val="20"/>
        </w:rPr>
        <w:t>The Controller of personal data processing is Kimberly-Clark Corporation with registered offices at 351 Phelps Drive, Irving, Texas 75038, United States of America</w:t>
      </w:r>
      <w:r>
        <w:rPr>
          <w:rFonts w:ascii="Arial;sans-serif" w:hAnsi="Arial;sans-serif"/>
          <w:b/>
          <w:i/>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15.    </w:t>
      </w:r>
      <w:r>
        <w:rPr>
          <w:rFonts w:ascii="Arial;sans-serif" w:hAnsi="Arial;sans-serif"/>
          <w:b w:val="false"/>
          <w:color w:val="000000"/>
          <w:sz w:val="20"/>
          <w:u w:val="single"/>
        </w:rPr>
        <w:t>Conflict with Plan or Other Documents</w:t>
      </w:r>
      <w:r>
        <w:rPr>
          <w:rFonts w:ascii="Arial;sans-serif" w:hAnsi="Arial;sans-serif"/>
          <w:b w:val="false"/>
          <w:color w:val="000000"/>
          <w:sz w:val="20"/>
        </w:rPr>
        <w:t>. This Award is awarded pursuant to and subject to the Plan. This Agreement is intended to supplement and carry out the terms of the Plan. It is subject to all terms and provisions of the Plan and, in the event of a conflict, the Plan shall prevail. In the event of any conflict between this Agreement and the terms of any notice, communication, plan summary, prospectus or other ancillary documentation relating to the Award, this Agreement will prevail.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16.    </w:t>
      </w:r>
      <w:r>
        <w:rPr>
          <w:rFonts w:ascii="Arial;sans-serif" w:hAnsi="Arial;sans-serif"/>
          <w:b w:val="false"/>
          <w:color w:val="000000"/>
          <w:sz w:val="20"/>
          <w:u w:val="single"/>
        </w:rPr>
        <w:t>Successors</w:t>
      </w:r>
      <w:r>
        <w:rPr>
          <w:rFonts w:ascii="Arial;sans-serif" w:hAnsi="Arial;sans-serif"/>
          <w:b w:val="false"/>
          <w:color w:val="000000"/>
          <w:sz w:val="20"/>
        </w:rPr>
        <w:t>. This Award Agreement, including but not limited to the restrictive covenants described in Sections 19 and 20 below, shall be binding upon and inure to the benefit of any successor or successors of the Corporation.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17.    </w:t>
      </w:r>
      <w:r>
        <w:rPr>
          <w:rFonts w:ascii="Arial;sans-serif" w:hAnsi="Arial;sans-serif"/>
          <w:b w:val="false"/>
          <w:color w:val="000000"/>
          <w:sz w:val="20"/>
          <w:u w:val="single"/>
        </w:rPr>
        <w:t>Amendments</w:t>
      </w:r>
      <w:r>
        <w:rPr>
          <w:rFonts w:ascii="Arial;sans-serif" w:hAnsi="Arial;sans-serif"/>
          <w:b w:val="false"/>
          <w:color w:val="000000"/>
          <w:sz w:val="20"/>
        </w:rPr>
        <w:t>. The Committee may at any time alter or amend this Award to the extent (a) permitted by law, (b) permitted by the rules of any stock exchange on which the Common Stock or any other security of the Corporation is listed, and (c) permitted under applicable provisions of the U.S. Securities Act of 1933, as amended, the U.S. Securities Exchange Act of 1934, as amended (including rule 16b-3 thereof).</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18.    </w:t>
      </w:r>
      <w:r>
        <w:rPr>
          <w:rFonts w:ascii="Arial;sans-serif" w:hAnsi="Arial;sans-serif"/>
          <w:b w:val="false"/>
          <w:color w:val="000000"/>
          <w:sz w:val="20"/>
          <w:u w:val="single"/>
        </w:rPr>
        <w:t>Defined Terms</w:t>
      </w:r>
      <w:r>
        <w:rPr>
          <w:rFonts w:ascii="Arial;sans-serif" w:hAnsi="Arial;sans-serif"/>
          <w:b w:val="false"/>
          <w:color w:val="000000"/>
          <w:sz w:val="20"/>
        </w:rPr>
        <w:t>. Terms which are capitalized are defined herein or in the Plan and have the same meaning set forth in the Plan, unless the context indicates otherwise.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20"/>
        </w:rPr>
        <w:t>19.    </w:t>
      </w:r>
      <w:r>
        <w:rPr>
          <w:rFonts w:ascii="Arial;sans-serif" w:hAnsi="Arial;sans-serif"/>
          <w:b w:val="false"/>
          <w:color w:val="000000"/>
          <w:sz w:val="20"/>
          <w:u w:val="single"/>
        </w:rPr>
        <w:t>Restrictive Covenants For U.S. Participants</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u w:val="single"/>
        </w:rPr>
        <w:t>Application</w:t>
      </w:r>
      <w:r>
        <w:rPr>
          <w:rFonts w:ascii="Arial;sans-serif" w:hAnsi="Arial;sans-serif"/>
          <w:b w:val="false"/>
          <w:color w:val="000000"/>
          <w:sz w:val="20"/>
        </w:rPr>
        <w:t xml:space="preserve">. The provisions of this Section 19 apply to Participants who are employed by the Corporation or an Affiliate located in the United States and are subject to the laws of the United States as of the date of termination of the Participant's employment; provided, however, that to the extent the Participant is party to an employment or other agreement with the Corporation or any Affiliate containing non-competition, non-solicitation, confidentiality, business ideas or similar restrictions (a “standalone restrictive covenant agreement”), whether or not such standalone restrictive covenant agreement has been agreed to before or after execution of this Award Agreement, that standalone restrictive covenant agreement and related enforcement provisions shall apply and the following provisions of this Section 19 shall also apply, unless otherwise determined by the Corporation in its sole discretion. Notwithstanding the foregoing, Section 19(m) below shall apply in any case.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67665"/>
                <wp:effectExtent l="0" t="0" r="0" b="0"/>
                <wp:wrapNone/>
                <wp:docPr id="155" name="Frame1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u w:val="single"/>
        </w:rPr>
        <w:t>Non-Competition</w:t>
      </w:r>
      <w:r>
        <w:rPr>
          <w:rFonts w:ascii="Arial;sans-serif" w:hAnsi="Arial;sans-serif"/>
          <w:b w:val="false"/>
          <w:color w:val="000000"/>
          <w:sz w:val="20"/>
        </w:rPr>
        <w:t xml:space="preserve">. Subject to Section 19(i), it is acknowledged that the Participant has acquired or will acquire Confidential Information during the Participant’s employment with the Corporation or any Affiliate, and should the Participant’s employment cease, the Participant will inevitably use or disclose the Corporation’s or an Affiliate’s Confidential Information while working in a competitive role. It is further acknowledged that it may be difficult to police Section 19(e) below, prohibiting the disclosure of such Confidential Information as well as the non-solicitation sub-sections set out below. For these reasons, during the term of the Participant’s employment with the Corporation or any Affiliate and for the applicable period listed in Appendix B of this Award Agreement following the termination of Participant’s employment with the Corporation or any Affiliate, regardless of the reason for or the manner of termination, the Participant shall not, in any country or countries for which the Participant had development, marketing, innovation/technology (R&amp;D), distribution, sales, administrative, operational/supply chain, manufacturing oversight, or other responsibilities during the last two (2) years of the Participant’s employment or was provided with regular and material access to Confidential Information regarding the Corporation’s or an Affiliate's business operations in that country or countries during the last two (2) years of the Participant’s employment, either directly or indirectly, perform duties or undertake responsibilities (including without limitation as an employee, employer, owner, operator, manager, advisor, consultant, contractor, agent, partner, director, officer, volunteer, intern, or any other similar capacity) for a Competitor (as defined below) that are the same or substantially similar to those duties or responsibilities that the Participant performed or undertook for the Corporation or an Affiliate during the two (2) year period prior to the end of the Participant’s employment with the Corporation or an Affiliate. “Confidential Information,” for purposes of this Section 19, shall mean (i) statutory trade secrets; (ii) proprietary information developed or acquired by the Corporation that does not rise to the level of a statutorily protectable trade secret and is made the property of the Corporation through this mutual Agreement of the parties; and (iii) information that is otherwise legally protectable. Such Confidential Information includes, but is not limited to, information in whatever form (including, without limitation, in written, oral, visual or electronic form or on any magnetic or optical disk or memory storage medium, as well as other physical items wherever located, and abstracts or summaries of the foregoing) relating to the business, suppliers, customers, products, affairs and finances of the Corporation or any Affiliate for the time being confidential to the Corporation or any Affiliate, ideas, conceptions, compilations of data, and developments created by the Corporation, whether or not patentable and whether or not copyrightable, and trade secrets including, without limitation, technical data and know-how relating to the business of the Corporation or any Affiliate, or any of their suppliers, customers, agents, distributors, shareholders or management, including (but not limited to) business plans, pricing strategies, financial information, patent rights, patent applications, information concerning tenders and potential contracts, information concerning proposed product ranges, product development information, employee and salary information, research and development activities or manufacturing methods that the Participant creates, develops, receives, obtains or has knowledge of in connection with the Participant’s employment, and all other matters which relate to the business of the Corporation or any Affiliate and in respect of which information is not readily available in the ordinary course of such business to the Corporation's Competitors, whether or not such information (if in anything other than oral form) is marked confidential. “Competitor,” for purposes of this Section 19, means a person or entity who engages in a business that is the same or substantially the same as any aspect of the Business of the Corporation. “Business of the Corporation,” for purposes of this Section 19, is the development, production, sales and/or marketing of (i) health and hygiene products and related apparel; (ii) washroom and workplace protective and safety products; (iii) any product for which the Participant had development, marketing, innovation/technology (R&amp;D), distribution, sales, administrative, operational/supply chain, manufacturing oversight, or other responsibilities or was provided with regular and material access to Confidential Information; and (iv) the materials, packaging and other components/subcomponents of such products including, without limitation, non-wood plants and products derived therefrom including any fibers, pulps or extracts. </w:t>
      </w:r>
    </w:p>
    <w:p>
      <w:pPr>
        <w:pStyle w:val="TextBody"/>
        <w:bidi w:val="0"/>
        <w:spacing w:lineRule="auto" w:line="288" w:before="0" w:after="240"/>
        <w:jc w:val="left"/>
        <w:rPr/>
      </w:pPr>
      <w:r>
        <w:rPr>
          <w:rFonts w:ascii="Arial;sans-serif" w:hAnsi="Arial;sans-serif"/>
          <w:b w:val="false"/>
          <w:color w:val="000000"/>
          <w:sz w:val="20"/>
        </w:rPr>
        <w:t>(c)</w:t>
      </w:r>
      <w:r>
        <w:rPr>
          <w:rFonts w:ascii="Arial;sans-serif" w:hAnsi="Arial;sans-serif"/>
          <w:b w:val="false"/>
          <w:color w:val="000000"/>
          <w:sz w:val="20"/>
          <w:u w:val="single"/>
        </w:rPr>
        <w:t>Non-Solicitation of Employees</w:t>
      </w:r>
      <w:r>
        <w:rPr>
          <w:rFonts w:ascii="Arial;sans-serif" w:hAnsi="Arial;sans-serif"/>
          <w:b w:val="false"/>
          <w:color w:val="000000"/>
          <w:sz w:val="20"/>
        </w:rPr>
        <w:t xml:space="preserve">. Subject to Section 19(i), for a period of two (2) years following the termination of employment, regardless of the reason for or the manner of termination, the Participant shall not, with respect to any person who was an employee of the Corporation or any Affiliate at the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67665"/>
                <wp:effectExtent l="0" t="0" r="0" b="0"/>
                <wp:wrapNone/>
                <wp:docPr id="156" name="Frame1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Participant’s termination date, and with whom the Participant had material dealings during the last two (2) years preceding the Participant’s termination date, (i) directly or indirectly induce such person to leave the employment of the Corporation or of any Affiliate, or (ii) be otherwise involved in the recruitment of such person, to leave the employment of the Corporation or of any Affiliate. Furthermore, the Participant shall not for a period of two (2) years following the termination date, regardless of the reason for or the manner of termination,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to become employed by, associated with and/or form part of any business or concern, in any capacity whatsoever, of any Competitor or (ii) be otherwise involved in the recruitment of such person to become employed by, associated with and/or form part of any business or concern, in any capacity whatsoever, of any Competitor. The Participant must inform the Corporation immediately on becoming aware of any such recruitment.</w:t>
      </w:r>
    </w:p>
    <w:p>
      <w:pPr>
        <w:pStyle w:val="TextBody"/>
        <w:bidi w:val="0"/>
        <w:spacing w:lineRule="auto" w:line="288" w:before="0" w:after="240"/>
        <w:jc w:val="left"/>
        <w:rPr/>
      </w:pPr>
      <w:r>
        <w:rPr>
          <w:rFonts w:ascii="Arial;sans-serif" w:hAnsi="Arial;sans-serif"/>
          <w:b w:val="false"/>
          <w:color w:val="000000"/>
          <w:sz w:val="20"/>
        </w:rPr>
        <w:t>(d)</w:t>
      </w:r>
      <w:r>
        <w:rPr>
          <w:rFonts w:ascii="Arial;sans-serif" w:hAnsi="Arial;sans-serif"/>
          <w:b w:val="false"/>
          <w:color w:val="000000"/>
          <w:sz w:val="20"/>
          <w:u w:val="single"/>
        </w:rPr>
        <w:t>Non-Solicitation of Business</w:t>
      </w:r>
      <w:r>
        <w:rPr>
          <w:rFonts w:ascii="Arial;sans-serif" w:hAnsi="Arial;sans-serif"/>
          <w:b w:val="false"/>
          <w:color w:val="000000"/>
          <w:sz w:val="20"/>
        </w:rPr>
        <w:t>. Subject to Section 19(i), during the term of the Participant’s employment and for a period of two (2) years following the termination of employment, regardless of the reason for or the manner of termination, the Participant shall not, either directly or indirectly, on the Participant’s own behalf or on behalf of any other person, firm or company or other entity, solicit, interfere with, entice or endeavor to entice away from the Corporation or any Affiliate any Restricted Customer (as defined below), or seek to conduct Restricted Business (as defined below), or conduct Restricted Business, with any Restricted Customer and/or otherwise persuade, induce, solicit or encourage any person or entity to terminate its contractual relationship with the Corporation or any Affiliate. “Restricted Business,” for purposes of this Section 19, means any business activity carried out by the Participant for the Corporation or any Affiliate during the last two (2) years preceding the Participant’s termination date. “Restricted Customer,” for purposes of this Section 19, means any person, firm or company or other entity who was a customer or distributor of the Corporation or any Affiliate as at the Participant’s termination date, or during the last two (2) years preceding the Participant’s termination date, and (i) with whom the Participant had material contact at the Participant’s termination date or during the last two (2) years preceding the Participant’s termination date, or (ii) in respect of whom, as at the Participant’s termination date or during the last two (2) years preceding the Participant’s termination date, the Participant had Confidential Information, including any Prospective Customer. “Prospective Customer,” for purposes of this Section 19, means any person, firm or company or other entity with whom the Corporation or any Affiliate was involved in negotiations as at the Participant’s termination date or during the last two (2) years preceding the Participant’s termination date, with a view to dealing with it as a customer and/or to conclude a contractual relationship with such entity, and where such negotiations have involved more than nominal expense or time commitment, and/or with whom the Participant had contact at the Participant’s termination date or during the last two (2) years preceding the Participant’s termination date with a view to dealing with it as a customer of the Corporation or any Affiliate and/or to conclude a contractual relationship with such entity or in respect of whom, as at the Participant’s termination date or during the last two (2) years preceding the Participant’s termination date, the Participant had Confidential Information.</w:t>
      </w:r>
    </w:p>
    <w:p>
      <w:pPr>
        <w:pStyle w:val="TextBody"/>
        <w:bidi w:val="0"/>
        <w:spacing w:lineRule="auto" w:line="288" w:before="0" w:after="240"/>
        <w:jc w:val="left"/>
        <w:rPr/>
      </w:pPr>
      <w:r>
        <w:rPr>
          <w:rFonts w:ascii="Arial;sans-serif" w:hAnsi="Arial;sans-serif"/>
          <w:b w:val="false"/>
          <w:color w:val="000000"/>
          <w:sz w:val="20"/>
        </w:rPr>
        <w:t>(e)</w:t>
      </w:r>
      <w:r>
        <w:rPr>
          <w:rFonts w:ascii="Arial;sans-serif" w:hAnsi="Arial;sans-serif"/>
          <w:b w:val="false"/>
          <w:color w:val="000000"/>
          <w:sz w:val="20"/>
          <w:u w:val="single"/>
        </w:rPr>
        <w:t>Confidentiality</w:t>
      </w:r>
      <w:r>
        <w:rPr>
          <w:rFonts w:ascii="Arial;sans-serif" w:hAnsi="Arial;sans-serif"/>
          <w:b w:val="false"/>
          <w:color w:val="000000"/>
          <w:sz w:val="20"/>
        </w:rPr>
        <w:t xml:space="preserve">. Subject to Sections 19(f) and 19(i), the Participant acknowledges that the Corporation and its Affiliates continually develop Confidential Information, that the Participant may develop Confidential Information for the Corporation or its Affiliates and that the Participant may learn of Confidential Information during the course of the employment relationship. The Corporation has expended and will continue to expend substantial effort and monies in acquiring knowledge and expertise in developing goodwill in the Business of the Corporation. Participant therefore agrees as follows: </w:t>
      </w:r>
    </w:p>
    <w:p>
      <w:pPr>
        <w:pStyle w:val="TextBody"/>
        <w:bidi w:val="0"/>
        <w:spacing w:lineRule="auto" w:line="288"/>
        <w:ind w:left="0" w:right="0" w:hanging="360"/>
        <w:jc w:val="left"/>
        <w:rPr>
          <w:rFonts w:ascii="Arial;sans-serif" w:hAnsi="Arial;sans-serif"/>
          <w:b w:val="false"/>
          <w:color w:val="000000"/>
          <w:sz w:val="20"/>
        </w:rPr>
      </w:pPr>
      <w:r>
        <w:rPr>
          <w:rFonts w:ascii="Arial;sans-serif" w:hAnsi="Arial;sans-serif"/>
          <w:b w:val="false"/>
          <w:color w:val="000000"/>
          <w:sz w:val="20"/>
        </w:rPr>
        <w:t xml:space="preserve">i.The Participant will comply with the policies and procedures of the Corporation for protecting Confidential Information and shall not disclose to any person or use,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67665"/>
                <wp:effectExtent l="0" t="0" r="0" b="0"/>
                <wp:wrapNone/>
                <wp:docPr id="157" name="Frame1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required by applicable law or for the proper performance of the Participant's duties and responsibilities to the Corporation and its Affiliates, any Confidential Information.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ii.The Participant understands that the restrictions set forth in this Section 19(e) shall continue to apply after the employment relationship terminates, regardless of the reason for such termination. The Participant understands and acknowledges that the Participant's obligations under this Award Agreement with regard to any particular Confidential Information shall commence immediately upon the Participant first having access to such Confidential Information and shall continue during and after employment with the Corporation or an Affiliate until such time as such Confidential Information has become public knowledge other than as a result of the Participant's breach of this Award Agreement or breach by those acting in concert with the Participant or on the Participant's behalf, and shall be indefinite where permitted by state and local law, and shall not continue longer than two (2) years where indefinite confidentiality provisions are not permitted. Notwithstanding, the Participant's confidentiality obligations under this Award Agreement with regard to any trade secrets shall continue during and after the Participant 's employment by the Corporation or an Affiliate until such trade secrets are no longer trade secrets under applicable law.</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(f)</w:t>
      </w:r>
      <w:r>
        <w:rPr>
          <w:rFonts w:ascii="Arial;sans-serif" w:hAnsi="Arial;sans-serif"/>
          <w:b w:val="false"/>
          <w:color w:val="000000"/>
          <w:sz w:val="20"/>
          <w:u w:val="single"/>
        </w:rPr>
        <w:t>Protected Rights.</w:t>
      </w:r>
      <w:r>
        <w:rPr>
          <w:color w:val="000000"/>
        </w:rPr>
        <w:t xml:space="preserve"> </w:t>
      </w:r>
      <w:r>
        <w:rPr>
          <w:rFonts w:ascii="Arial;sans-serif" w:hAnsi="Arial;sans-serif"/>
          <w:b w:val="false"/>
          <w:color w:val="000000"/>
          <w:sz w:val="20"/>
        </w:rPr>
        <w:t>Notwithstanding any other provision of this Award Agreement, nothing in this Award Agreement shall restrict the Participant’s right to (i) report violations of law to law enforcement officials; (ii) give truthful testimony under oath in a judicial, administrative, or arbitral proceeding; (iii) file a charge with, make truthful statements to, cooperate with investigations by, or assist others in proceedings before state or federal governmental agencies or any other self-regulatory organization (including the U.S. Equal Employment Opportunity Commission, the National Labor Relations Board, the Financial Industry Regulatory Authority, and the U.S. Securities and Exchange Commission); (iv) speak with an attorney representing the Participant; (v) discuss the facts related to any claim of sexual assault or sexual harassment; (vi) engage in whistle-blower activity protected by the Securities Exchange Act of 1934, the Dodd-Frank Wall Street Reform and Consumer Protection Act, or any rules or regulations issued thereunder (including Rule 21F-17); (vii) file or disclose any facts necessary to receive unemployment insurance, Medicaid, or other public benefits to which the Participant may be entitled; (viii) exercise rights under Section 7 of the National Labor Relations Act, including the right to discuss terms and conditions of employment with co-workers and labor unions; or (ix) otherwise disclose information that Participant is legally entitled to disclose pursuant to applicable law, provided that the disclosure does not exceed the extent of disclosure required by law. The Participant shall promptly provide written notice of any order to disclose Confidential Information to an authorized officer of the Corporation or its Affiliates. In addition, pursuant to the Defend Trade Secrets Act of 2016, (i) the Participant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(ii) the Participant agrees and understands that individuals may disclose trade secrets in a complaint, or other document, filed in a lawsuit, or other proceeding, if such filing is made under seal; and (iii) the Participant agrees and understands that an individual who files a lawsuit alleging retaliation by the Corporation or its Affiliates for reporting a suspected violation of the law may disclose the trade secret to the attorney of the individual and use the trade secret in the court proceeding, if the individual files any document containing the trade secret under seal and does not disclose the trade secret, except pursuant to court order. For the avoidance of doubt, the Participant’s past, present or future exercise of any rights described in this Section 19(f) shall not constitute a breach of this Award Agreement.</w:t>
      </w:r>
    </w:p>
    <w:p>
      <w:pPr>
        <w:pStyle w:val="TextBody"/>
        <w:bidi w:val="0"/>
        <w:spacing w:lineRule="auto" w:line="288" w:before="0" w:after="240"/>
        <w:jc w:val="left"/>
        <w:rPr/>
      </w:pPr>
      <w:r>
        <w:rPr>
          <w:rFonts w:ascii="Arial;sans-serif" w:hAnsi="Arial;sans-serif"/>
          <w:b w:val="false"/>
          <w:color w:val="000000"/>
          <w:sz w:val="20"/>
        </w:rPr>
        <w:t>(g)</w:t>
      </w:r>
      <w:r>
        <w:rPr>
          <w:rFonts w:ascii="Arial;sans-serif" w:hAnsi="Arial;sans-serif"/>
          <w:b w:val="false"/>
          <w:color w:val="000000"/>
          <w:sz w:val="20"/>
          <w:u w:val="single"/>
        </w:rPr>
        <w:t>Business Ideas</w:t>
      </w:r>
      <w:r>
        <w:rPr>
          <w:rFonts w:ascii="Arial;sans-serif" w:hAnsi="Arial;sans-serif"/>
          <w:b w:val="false"/>
          <w:color w:val="000000"/>
          <w:sz w:val="20"/>
        </w:rPr>
        <w:t xml:space="preserve">. Subject to Section 19(i), the Participant acknowledges that the Corporation owns all rights in all Business Ideas (as defined below). For the avoidance of doubt, in the event an assignment is needed during the term of the Participant's employment with the Corporation or any Affiliate and at any time following the termination of employment, the Participant hereby assigns without further action being required to the Corporation all Business Ideas. The Participant shall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67665"/>
                <wp:effectExtent l="0" t="0" r="0" b="0"/>
                <wp:wrapNone/>
                <wp:docPr id="158" name="Frame1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execute all documents which the Corporation may reasonably require to perfect, maintain and protect its patent, copyright, trade secret, trademark and any and all other rights to such Business Ideas throughout the world, and shall provide other reasonable assistance and cooperation as may be necessary for the Corporation to investigate, perfect, maintain and protect those rights, including assistance and cooperation with litigation relating to any Business Ideas. Even after the Participant's employment with the Corporation or any Affiliate terminates, the Participant will continue to be reasonably available to assist the Corporation with its efforts to investigate, perfect, maintain and protect rights in any Business Ideas, including assistance with litigation relating to any Business Ideas. “Business Ideas” as used in this Award Agreement means all ideas, concepts, innovations, inventions, strategy, data, developments, and works of authorship, whether or not patentable, both technical and business, which the Participant originates, conceives or develops, either alone or in conjunction with others, at any time during the Participant's employment with the Corporation or any Affiliate, except those which satisfy all three of the following criteria: (i) unrelated to the Corporation’s business; (ii) not originated, conceived or developed during the Participant's working hours; and (iii) not originated, conceived or developed by use of any Corporation property such as tools, supplies, equipment, materials, facilities or other Corporation employees. Any idea, concept, innovation, invention, strategy, data, development or work of authorship that the Participant originates, conceives or develops, through the use of Corporation Confidential Information, at any time within six (6) months after the Participant's employment with the Corporation or any Affiliate terminates (for any reason) will be presumed to be a Business Idea unless the Participant can prove otherwise by clear and convincing evidence.</w:t>
      </w:r>
    </w:p>
    <w:p>
      <w:pPr>
        <w:pStyle w:val="TextBody"/>
        <w:bidi w:val="0"/>
        <w:spacing w:lineRule="auto" w:line="288" w:before="0" w:after="240"/>
        <w:jc w:val="left"/>
        <w:rPr/>
      </w:pPr>
      <w:r>
        <w:rPr>
          <w:rFonts w:ascii="Arial;sans-serif" w:hAnsi="Arial;sans-serif"/>
          <w:b w:val="false"/>
          <w:color w:val="000000"/>
          <w:sz w:val="20"/>
        </w:rPr>
        <w:t>(h)</w:t>
      </w:r>
      <w:r>
        <w:rPr>
          <w:rFonts w:ascii="Arial;sans-serif" w:hAnsi="Arial;sans-serif"/>
          <w:b w:val="false"/>
          <w:color w:val="000000"/>
          <w:sz w:val="20"/>
          <w:u w:val="single"/>
        </w:rPr>
        <w:t>Rights to Photographs, Videos, Recordings, and Electronic Images/Waiver of Publicity Rights</w:t>
      </w:r>
      <w:r>
        <w:rPr>
          <w:rFonts w:ascii="Arial;sans-serif" w:hAnsi="Arial;sans-serif"/>
          <w:b w:val="false"/>
          <w:color w:val="000000"/>
          <w:sz w:val="20"/>
        </w:rPr>
        <w:t>. Subject to Section 19(i), the Participant agrees that the Corporation and its licensee may, and are entitled to, use, exploit, publish, and copyright photographs, videos, audio, and other recordings and electronic images, icons, or figures of or representing Participant (collectively, the “Performance”) relating in any way to the Business of the Corporation that are made during the term of the Participant’s employment (and any derivative works made thereafter), and that the Corporation shall have all of Participant’s rights, title, and interest (if any) in, to, and under any such Performance including, without limitation, privacy, copyright, moral right, and rights of publicity. The Corporation and its licensees may use such Performance without further compensation or any other additional consideration, for any advertising, publishing, social media, or other business or commercial purposes on behalf of the Company both during or after the term of the Participant’s employment.</w:t>
      </w:r>
    </w:p>
    <w:p>
      <w:pPr>
        <w:pStyle w:val="TextBody"/>
        <w:bidi w:val="0"/>
        <w:spacing w:lineRule="auto" w:line="288" w:before="0" w:after="240"/>
        <w:jc w:val="left"/>
        <w:rPr/>
      </w:pPr>
      <w:r>
        <w:rPr>
          <w:rFonts w:ascii="Arial;sans-serif" w:hAnsi="Arial;sans-serif"/>
          <w:b w:val="false"/>
          <w:color w:val="000000"/>
          <w:sz w:val="20"/>
        </w:rPr>
        <w:t>(i)</w:t>
      </w:r>
      <w:r>
        <w:rPr>
          <w:rFonts w:ascii="Arial;sans-serif" w:hAnsi="Arial;sans-serif"/>
          <w:b w:val="false"/>
          <w:color w:val="000000"/>
          <w:sz w:val="20"/>
          <w:u w:val="single"/>
        </w:rPr>
        <w:t>State-Specific Provisions</w:t>
      </w:r>
      <w:r>
        <w:rPr>
          <w:rFonts w:ascii="Arial;sans-serif" w:hAnsi="Arial;sans-serif"/>
          <w:b w:val="false"/>
          <w:color w:val="000000"/>
          <w:sz w:val="20"/>
        </w:rPr>
        <w:t>.</w:t>
      </w:r>
      <w:r>
        <w:rPr>
          <w:color w:val="000000"/>
        </w:rPr>
        <w:t xml:space="preserve">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i.If the Participant lives or works in </w:t>
      </w:r>
      <w:r>
        <w:rPr>
          <w:rFonts w:ascii="Arial;sans-serif" w:hAnsi="Arial;sans-serif"/>
          <w:b/>
          <w:color w:val="000000"/>
          <w:sz w:val="20"/>
        </w:rPr>
        <w:t xml:space="preserve">California </w:t>
      </w:r>
      <w:r>
        <w:rPr>
          <w:rFonts w:ascii="Arial;sans-serif" w:hAnsi="Arial;sans-serif"/>
          <w:b w:val="false"/>
          <w:color w:val="000000"/>
          <w:sz w:val="20"/>
        </w:rPr>
        <w:t xml:space="preserve">at the time of or after termination of employment, (A) Section 19(b), Section 19(c), and Section 19(d) do not apply after the Participant’s employment with the Corporation or its Affiliates ends, and (B) the Participant and the Corporation and its Affiliates agree to the exclusive jurisdiction of the state and federal courts of California for any dispute arising under this Agreement and that this Agreement shall be governed by California law.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ii.If the Participant primarily lives or works in </w:t>
      </w:r>
      <w:r>
        <w:rPr>
          <w:rFonts w:ascii="Arial;sans-serif" w:hAnsi="Arial;sans-serif"/>
          <w:b/>
          <w:color w:val="000000"/>
          <w:sz w:val="20"/>
        </w:rPr>
        <w:t>Colorado</w:t>
      </w:r>
      <w:r>
        <w:rPr>
          <w:color w:val="000000"/>
        </w:rPr>
        <w:t xml:space="preserve"> </w:t>
      </w:r>
      <w:r>
        <w:rPr>
          <w:rFonts w:ascii="Arial;sans-serif" w:hAnsi="Arial;sans-serif"/>
          <w:b w:val="false"/>
          <w:color w:val="000000"/>
          <w:sz w:val="20"/>
        </w:rPr>
        <w:t xml:space="preserve">at the time of termination of employment, the Participant and the Corporation and its Affiliates agree to the exclusive jurisdiction of the state and federal courts of Colorado for any dispute arising under Section 19(b) or Section 19(d) and that those Sections shall be governed by Colorado law. </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iii.If the Participant’s principal place of employment is </w:t>
      </w:r>
      <w:r>
        <w:rPr>
          <w:rFonts w:ascii="Arial;sans-serif" w:hAnsi="Arial;sans-serif"/>
          <w:b/>
          <w:color w:val="000000"/>
          <w:sz w:val="20"/>
        </w:rPr>
        <w:t>Minnesota</w:t>
      </w:r>
      <w:r>
        <w:rPr>
          <w:rFonts w:ascii="Arial;sans-serif" w:hAnsi="Arial;sans-serif"/>
          <w:b w:val="false"/>
          <w:color w:val="000000"/>
          <w:sz w:val="20"/>
        </w:rPr>
        <w:t>, Section 19(b) does not apply after the Participant’s employment with the Corporation or its Affiliates ends.</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iv.If the Participant’s principal place of employment is </w:t>
      </w:r>
      <w:r>
        <w:rPr>
          <w:rFonts w:ascii="Arial;sans-serif" w:hAnsi="Arial;sans-serif"/>
          <w:b/>
          <w:color w:val="000000"/>
          <w:sz w:val="20"/>
        </w:rPr>
        <w:t>North Dakota</w:t>
      </w:r>
      <w:r>
        <w:rPr>
          <w:rFonts w:ascii="Arial;sans-serif" w:hAnsi="Arial;sans-serif"/>
          <w:b w:val="false"/>
          <w:color w:val="000000"/>
          <w:sz w:val="20"/>
        </w:rPr>
        <w:t>, Section 19(b) and Section 19(d) do not apply after the Participant’s employment with the Corporation or its Affiliates ends.</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7665"/>
                <wp:effectExtent l="0" t="0" r="0" b="0"/>
                <wp:wrapNone/>
                <wp:docPr id="159" name="Frame1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rFonts w:ascii="Arial;sans-serif" w:hAnsi="Arial;sans-serif"/>
          <w:b w:val="false"/>
          <w:color w:val="000000"/>
          <w:sz w:val="20"/>
        </w:rPr>
        <w:t xml:space="preserve">v.If the Participant’s principal place of employment is </w:t>
      </w:r>
      <w:r>
        <w:rPr>
          <w:rFonts w:ascii="Arial;sans-serif" w:hAnsi="Arial;sans-serif"/>
          <w:b/>
          <w:color w:val="000000"/>
          <w:sz w:val="20"/>
        </w:rPr>
        <w:t>Oklahoma</w:t>
      </w:r>
      <w:r>
        <w:rPr>
          <w:rFonts w:ascii="Arial;sans-serif" w:hAnsi="Arial;sans-serif"/>
          <w:b w:val="false"/>
          <w:color w:val="000000"/>
          <w:sz w:val="20"/>
        </w:rPr>
        <w:t>, Section 19(b) and Section 19(d) do not apply after the Participant’s employment with the Corporation or its Affiliates ends.</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vi.If the Participant’s principal place of employment is </w:t>
      </w:r>
      <w:r>
        <w:rPr>
          <w:rFonts w:ascii="Arial;sans-serif" w:hAnsi="Arial;sans-serif"/>
          <w:b/>
          <w:color w:val="000000"/>
          <w:sz w:val="20"/>
        </w:rPr>
        <w:t>Washington</w:t>
      </w:r>
      <w:r>
        <w:rPr>
          <w:rFonts w:ascii="Arial;sans-serif" w:hAnsi="Arial;sans-serif"/>
          <w:b w:val="false"/>
          <w:color w:val="000000"/>
          <w:sz w:val="20"/>
        </w:rPr>
        <w:t>, the Participant and the Corporation and its Affiliates agree to the exclusive jurisdiction of the state and federal courts of Washington for any dispute arising under Section 19(b) and that Section 19(b) shall be governed by Washington law.</w:t>
      </w:r>
    </w:p>
    <w:p>
      <w:pPr>
        <w:pStyle w:val="TextBody"/>
        <w:bidi w:val="0"/>
        <w:spacing w:lineRule="auto" w:line="288" w:before="0" w:after="240"/>
        <w:ind w:left="0" w:right="0" w:hanging="360"/>
        <w:jc w:val="left"/>
        <w:rPr/>
      </w:pPr>
      <w:r>
        <w:rPr>
          <w:rFonts w:ascii="Arial;sans-serif" w:hAnsi="Arial;sans-serif"/>
          <w:b w:val="false"/>
          <w:color w:val="000000"/>
          <w:sz w:val="20"/>
        </w:rPr>
        <w:t xml:space="preserve">vii.If the Participant’s principal place of employment is a state listed the United States sub-section of </w:t>
      </w:r>
      <w:r>
        <w:rPr>
          <w:rFonts w:ascii="Arial;sans-serif" w:hAnsi="Arial;sans-serif"/>
          <w:b/>
          <w:i/>
          <w:color w:val="000000"/>
          <w:sz w:val="20"/>
        </w:rPr>
        <w:t>Appendix A</w:t>
      </w:r>
      <w:r>
        <w:rPr>
          <w:rFonts w:ascii="Arial;sans-serif" w:hAnsi="Arial;sans-serif"/>
          <w:b w:val="false"/>
          <w:color w:val="000000"/>
          <w:sz w:val="20"/>
        </w:rPr>
        <w:t xml:space="preserve">, then the applicable provision(s) in </w:t>
      </w:r>
      <w:r>
        <w:rPr>
          <w:rFonts w:ascii="Arial;sans-serif" w:hAnsi="Arial;sans-serif"/>
          <w:b/>
          <w:i/>
          <w:color w:val="000000"/>
          <w:sz w:val="20"/>
        </w:rPr>
        <w:t>Appendix A</w:t>
      </w:r>
      <w:r>
        <w:rPr>
          <w:color w:val="000000"/>
        </w:rPr>
        <w:t xml:space="preserve"> </w:t>
      </w:r>
      <w:r>
        <w:rPr>
          <w:rFonts w:ascii="Arial;sans-serif" w:hAnsi="Arial;sans-serif"/>
          <w:b w:val="false"/>
          <w:color w:val="000000"/>
          <w:sz w:val="20"/>
        </w:rPr>
        <w:t>shall also apply.</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viii.This Award Agreement shall not require the Participant to assign the Participant’s rights in any invention that qualifies fully for the protection of a state law applicable to the Participant that governs assignment of inventions, such as California Labor Code § 2870, which provides:</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w:t>
      </w:r>
    </w:p>
    <w:p>
      <w:pPr>
        <w:pStyle w:val="TextBody"/>
        <w:bidi w:val="0"/>
        <w:spacing w:lineRule="auto" w:line="288" w:before="0" w:after="240"/>
        <w:jc w:val="both"/>
        <w:rPr/>
      </w:pPr>
      <w:r>
        <w:rPr>
          <w:rFonts w:ascii="Arial;sans-serif" w:hAnsi="Arial;sans-serif"/>
          <w:b w:val="false"/>
          <w:i/>
          <w:color w:val="000000"/>
          <w:sz w:val="20"/>
        </w:rPr>
        <w:t>(b) To the extent a provision in an employment agreement purports to require an employee to assign an invention otherwise excluded from being required to be assigned under subdivision (a), the provision is against the public policy of this state and is unenforceable</w:t>
      </w:r>
      <w:r>
        <w:rPr>
          <w:rFonts w:ascii="Arial;sans-serif" w:hAnsi="Arial;sans-serif"/>
          <w:b w:val="false"/>
          <w:color w:val="000000"/>
          <w:sz w:val="20"/>
        </w:rPr>
        <w:t xml:space="preserve">. </w:t>
      </w:r>
    </w:p>
    <w:p>
      <w:pPr>
        <w:pStyle w:val="TextBody"/>
        <w:bidi w:val="0"/>
        <w:spacing w:lineRule="auto" w:line="288" w:before="0" w:after="240"/>
        <w:jc w:val="left"/>
        <w:rPr/>
      </w:pPr>
      <w:r>
        <w:rPr>
          <w:rFonts w:ascii="Arial;sans-serif" w:hAnsi="Arial;sans-serif"/>
          <w:b w:val="false"/>
          <w:color w:val="000000"/>
          <w:sz w:val="20"/>
        </w:rPr>
        <w:t>(j)</w:t>
      </w:r>
      <w:r>
        <w:rPr>
          <w:rFonts w:ascii="Arial;sans-serif" w:hAnsi="Arial;sans-serif"/>
          <w:b w:val="false"/>
          <w:color w:val="000000"/>
          <w:sz w:val="20"/>
          <w:u w:val="single"/>
        </w:rPr>
        <w:t>Notification Requirement</w:t>
      </w:r>
      <w:r>
        <w:rPr>
          <w:rFonts w:ascii="Arial;sans-serif" w:hAnsi="Arial;sans-serif"/>
          <w:b w:val="false"/>
          <w:color w:val="000000"/>
          <w:sz w:val="20"/>
        </w:rPr>
        <w:t xml:space="preserve">. During the term of the Participant's employment with the Corporation or any Affiliate and for the period of two (2) years following termination of the Participant’s employment with the Corporation or an Affiliate, regardless of the reason for or the manner of termination, the Participant agrees to notify the Corporation in writing prior to accepting new employment, or engaging in any other activity which may violate this Award Agreement, and the Participant agrees to provide in such notice information concerning the anticipated new employment or activity, including, but not limited to: name of new employer; address of new employer; name of new team leader; job title; and scope and responsibilities of the new position. The Participant recognizes that such duty of notification is not affected by the Participant’s belief that such employment may perhaps not violate this Award Agreement or otherwise be unfairly competitive with the Corporation or an Affiliate. The Participant’s written notice should be addressed to the Corporation's General Counsel with subject line Non-Competition Agreement, via email to </w:t>
      </w:r>
      <w:r>
        <w:rPr>
          <w:rFonts w:ascii="Arial;sans-serif" w:hAnsi="Arial;sans-serif"/>
          <w:b w:val="false"/>
          <w:color w:val="0E32E1"/>
          <w:sz w:val="20"/>
        </w:rPr>
        <w:t>Noncompete.Notification@kcc.com</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val="false"/>
          <w:color w:val="000000"/>
          <w:sz w:val="20"/>
        </w:rPr>
        <w:t>(k)</w:t>
      </w:r>
      <w:r>
        <w:rPr>
          <w:rFonts w:ascii="Arial;sans-serif" w:hAnsi="Arial;sans-serif"/>
          <w:b w:val="false"/>
          <w:color w:val="000000"/>
          <w:sz w:val="20"/>
          <w:u w:val="single"/>
        </w:rPr>
        <w:t>Other Notification</w:t>
      </w:r>
      <w:r>
        <w:rPr>
          <w:rFonts w:ascii="Arial;sans-serif" w:hAnsi="Arial;sans-serif"/>
          <w:b w:val="false"/>
          <w:color w:val="000000"/>
          <w:sz w:val="20"/>
        </w:rPr>
        <w:t xml:space="preserve">. During the period of two (2) years following termination of </w:t>
      </w:r>
      <w:r>
        <w:rPr>
          <w:rFonts w:ascii="Arial;sans-serif" w:hAnsi="Arial;sans-serif"/>
          <w:b w:val="false"/>
          <w:color w:val="000000"/>
          <w:sz w:val="20"/>
          <w:u w:val="single"/>
        </w:rPr>
        <w:t>the</w:t>
      </w:r>
      <w:r>
        <w:rPr>
          <w:color w:val="000000"/>
        </w:rPr>
        <w:t xml:space="preserve"> </w:t>
      </w:r>
      <w:r>
        <w:rPr>
          <w:rFonts w:ascii="Arial;sans-serif" w:hAnsi="Arial;sans-serif"/>
          <w:b w:val="false"/>
          <w:color w:val="000000"/>
          <w:sz w:val="20"/>
        </w:rPr>
        <w:t xml:space="preserve">Participant’s employment with the Corporation or an Affiliate, the Participant shall provide a copy of Section 19 of this Award Agreement to each new employer before starting in any new employment. The Participant agrees that the Corporation may notify any third party about the Participant’s obligations under Section 19 of this Award Agreement until such obligations are fulfilled. </w:t>
      </w:r>
    </w:p>
    <w:p>
      <w:pPr>
        <w:pStyle w:val="TextBody"/>
        <w:bidi w:val="0"/>
        <w:spacing w:lineRule="auto" w:line="288" w:before="0" w:after="240"/>
        <w:jc w:val="left"/>
        <w:rPr/>
      </w:pPr>
      <w:r>
        <w:rPr>
          <w:rFonts w:ascii="Arial;sans-serif" w:hAnsi="Arial;sans-serif"/>
          <w:b w:val="false"/>
          <w:color w:val="000000"/>
          <w:sz w:val="20"/>
        </w:rPr>
        <w:t>(l)</w:t>
      </w:r>
      <w:r>
        <w:rPr>
          <w:rFonts w:ascii="Arial;sans-serif" w:hAnsi="Arial;sans-serif"/>
          <w:b w:val="false"/>
          <w:color w:val="000000"/>
          <w:sz w:val="20"/>
          <w:u w:val="single"/>
        </w:rPr>
        <w:t>Damages and Remedies</w:t>
      </w:r>
      <w:r>
        <w:rPr>
          <w:rFonts w:ascii="Arial;sans-serif" w:hAnsi="Arial;sans-serif"/>
          <w:b w:val="false"/>
          <w:color w:val="000000"/>
          <w:sz w:val="20"/>
        </w:rPr>
        <w:t xml:space="preserve">. In the event of an anticipated, threatened, or actual breach by the Participant of any of the provisions of this Section 19, the Corporation and its Affiliates shall be entitled to all damages available as a matter of law. The Participant acknowledges and agrees that any damages would not be an adequate remedy to compensate the Corporation or an Affiliate for the harm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67665"/>
                <wp:effectExtent l="0" t="0" r="0" b="0"/>
                <wp:wrapNone/>
                <wp:docPr id="160" name="Frame1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to the business of the Corporation or the Affiliate and, in such event, agrees that the Corporation or the Affiliate, as applicable, shall be entitled to a temporary restraining order and to injunctive relief to prevent or terminate such anticipated, threatened, or actual breach, provided, however, that nothing in this Award Agreement shall be construed to limit any additional relief to which the Corporation or the Affiliate may be entitled or the damages otherwise recoverable by the Corporation or the Affiliate in any such event.</w:t>
      </w:r>
    </w:p>
    <w:p>
      <w:pPr>
        <w:pStyle w:val="TextBody"/>
        <w:bidi w:val="0"/>
        <w:spacing w:lineRule="auto" w:line="288" w:before="0" w:after="240"/>
        <w:jc w:val="left"/>
        <w:rPr/>
      </w:pPr>
      <w:r>
        <w:rPr>
          <w:rFonts w:ascii="Arial;sans-serif" w:hAnsi="Arial;sans-serif"/>
          <w:b w:val="false"/>
          <w:color w:val="000000"/>
          <w:sz w:val="20"/>
        </w:rPr>
        <w:t>(m)</w:t>
      </w:r>
      <w:r>
        <w:rPr>
          <w:rFonts w:ascii="Arial;sans-serif" w:hAnsi="Arial;sans-serif"/>
          <w:b w:val="false"/>
          <w:color w:val="000000"/>
          <w:sz w:val="20"/>
          <w:u w:val="single"/>
        </w:rPr>
        <w:t>Forfeiture of Award</w:t>
      </w:r>
      <w:r>
        <w:rPr>
          <w:rFonts w:ascii="Arial;sans-serif" w:hAnsi="Arial;sans-serif"/>
          <w:b w:val="false"/>
          <w:color w:val="000000"/>
          <w:sz w:val="20"/>
        </w:rPr>
        <w:t xml:space="preserve">. In addition to the Corporation's or an Affiliate's ability to pursue injunctive relief to avoid irreparable harm pursuant to Section 19(k), in the event of an actual breach by the Participant of any of the provisions of this Section 19 or of any stand-alone restrictive covenant agreement, the Corporation also is entitled to: (i) require the Participant to repay to the Corporation, immediately upon demand, an amount equal to the value of the shares of Common Stock issued on settlement of the RSUs (less $1,000); and/or (ii) forfeit any portion of the Award that has not yet vested at the time the Corporation becomes aware of the breach. </w:t>
      </w:r>
    </w:p>
    <w:p>
      <w:pPr>
        <w:pStyle w:val="TextBody"/>
        <w:bidi w:val="0"/>
        <w:spacing w:lineRule="auto" w:line="288" w:before="0" w:after="240"/>
        <w:jc w:val="left"/>
        <w:rPr/>
      </w:pPr>
      <w:r>
        <w:rPr>
          <w:rFonts w:ascii="Arial;sans-serif" w:hAnsi="Arial;sans-serif"/>
          <w:b w:val="false"/>
          <w:color w:val="000000"/>
          <w:sz w:val="20"/>
        </w:rPr>
        <w:t>(n)</w:t>
      </w:r>
      <w:r>
        <w:rPr>
          <w:rFonts w:ascii="Arial;sans-serif" w:hAnsi="Arial;sans-serif"/>
          <w:b w:val="false"/>
          <w:color w:val="000000"/>
          <w:sz w:val="20"/>
          <w:u w:val="single"/>
        </w:rPr>
        <w:t>Reimbursement of Fees</w:t>
      </w:r>
      <w:r>
        <w:rPr>
          <w:rFonts w:ascii="Arial;sans-serif" w:hAnsi="Arial;sans-serif"/>
          <w:b w:val="false"/>
          <w:color w:val="000000"/>
          <w:sz w:val="20"/>
        </w:rPr>
        <w:t>. If the Participant violates any of the provisions of this Section 19, or any duty of loyalty or confidentiality imposed by law, in addition to any damages that the Participant may be required to pay, the Participant understands and agrees that the Participant shall be required to reimburse the Corporation for all its costs incurred to enforce this Award Agreement, including but not limited to, all attorneys’ fees.</w:t>
      </w:r>
    </w:p>
    <w:p>
      <w:pPr>
        <w:pStyle w:val="TextBody"/>
        <w:bidi w:val="0"/>
        <w:spacing w:lineRule="auto" w:line="288" w:before="0" w:after="240"/>
        <w:jc w:val="left"/>
        <w:rPr/>
      </w:pPr>
      <w:r>
        <w:rPr>
          <w:rFonts w:ascii="Arial;sans-serif" w:hAnsi="Arial;sans-serif"/>
          <w:b w:val="false"/>
          <w:color w:val="000000"/>
          <w:sz w:val="20"/>
        </w:rPr>
        <w:t>(o)</w:t>
      </w:r>
      <w:r>
        <w:rPr>
          <w:rFonts w:ascii="Arial;sans-serif" w:hAnsi="Arial;sans-serif"/>
          <w:b w:val="false"/>
          <w:color w:val="000000"/>
          <w:sz w:val="20"/>
          <w:u w:val="single"/>
        </w:rPr>
        <w:t>Successors and Beneficiaries</w:t>
      </w:r>
      <w:r>
        <w:rPr>
          <w:rFonts w:ascii="Arial;sans-serif" w:hAnsi="Arial;sans-serif"/>
          <w:b w:val="false"/>
          <w:color w:val="000000"/>
          <w:sz w:val="20"/>
        </w:rPr>
        <w:t>. For purposes of this Section 19, the Corporation and each of its Affiliates shall be deemed to be third-party beneficiaries with the right to seek enforcement of any of the provisions of this Section 19. Further, for purposes of this Section 19, references to acting directly or indirectly include acting jointly with or through another person.</w:t>
      </w:r>
    </w:p>
    <w:p>
      <w:pPr>
        <w:pStyle w:val="TextBody"/>
        <w:bidi w:val="0"/>
        <w:spacing w:lineRule="auto" w:line="288" w:before="0" w:after="240"/>
        <w:jc w:val="left"/>
        <w:rPr/>
      </w:pPr>
      <w:r>
        <w:rPr>
          <w:rFonts w:ascii="Arial;sans-serif" w:hAnsi="Arial;sans-serif"/>
          <w:b w:val="false"/>
          <w:color w:val="000000"/>
          <w:sz w:val="20"/>
        </w:rPr>
        <w:t>(p)</w:t>
      </w:r>
      <w:r>
        <w:rPr>
          <w:rFonts w:ascii="Arial;sans-serif" w:hAnsi="Arial;sans-serif"/>
          <w:b w:val="false"/>
          <w:color w:val="000000"/>
          <w:sz w:val="20"/>
          <w:u w:val="single"/>
        </w:rPr>
        <w:t>Prior Restrictive Covenants</w:t>
      </w:r>
      <w:r>
        <w:rPr>
          <w:rFonts w:ascii="Arial;sans-serif" w:hAnsi="Arial;sans-serif"/>
          <w:b w:val="false"/>
          <w:color w:val="000000"/>
          <w:sz w:val="20"/>
        </w:rPr>
        <w:t>. Participant acknowledges and agrees that Participant is not a party to any agreement with any other company containing a confidentiality or noncompetition provision or other restriction that relates to the Business of the Corporation which Participant has not already disclosed to the Corporation or its Affiliates in writing. Participant understands that Participant is prohibited from disclosing or using during Participant’s employment with the Corporation any confidential information or trade secrets that Participant acquired from any previous employer.</w:t>
      </w:r>
    </w:p>
    <w:p>
      <w:pPr>
        <w:pStyle w:val="TextBody"/>
        <w:bidi w:val="0"/>
        <w:spacing w:lineRule="auto" w:line="288" w:before="0" w:after="240"/>
        <w:jc w:val="left"/>
        <w:rPr/>
      </w:pPr>
      <w:r>
        <w:rPr>
          <w:rFonts w:ascii="Arial;sans-serif" w:hAnsi="Arial;sans-serif"/>
          <w:b w:val="false"/>
          <w:color w:val="000000"/>
          <w:sz w:val="20"/>
        </w:rPr>
        <w:t>(q)</w:t>
      </w:r>
      <w:r>
        <w:rPr>
          <w:rFonts w:ascii="Arial;sans-serif" w:hAnsi="Arial;sans-serif"/>
          <w:b w:val="false"/>
          <w:color w:val="000000"/>
          <w:sz w:val="20"/>
          <w:u w:val="single"/>
        </w:rPr>
        <w:t>Modification</w:t>
      </w:r>
      <w:r>
        <w:rPr>
          <w:rFonts w:ascii="Arial;sans-serif" w:hAnsi="Arial;sans-serif"/>
          <w:b w:val="false"/>
          <w:color w:val="000000"/>
          <w:sz w:val="20"/>
        </w:rPr>
        <w:t>. No waiver, modification, or amendment of any term of this Award Agreement shall be valid unless made in writing specifying such waiver, modification, or amendment, and signed by an officer of the Corporation. Notwithstanding the foregoing, no waiver, modification, or amendment of this Award Agreement shall be effective if it would cause this Award or any payment or benefit hereunder to be subject to, or fail to comply with, Section 409A of the Code.</w:t>
      </w:r>
    </w:p>
    <w:p>
      <w:pPr>
        <w:pStyle w:val="TextBody"/>
        <w:bidi w:val="0"/>
        <w:spacing w:lineRule="auto" w:line="288" w:before="0" w:after="240"/>
        <w:jc w:val="left"/>
        <w:rPr/>
      </w:pPr>
      <w:r>
        <w:rPr>
          <w:rFonts w:ascii="Arial;sans-serif" w:hAnsi="Arial;sans-serif"/>
          <w:b w:val="false"/>
          <w:color w:val="000000"/>
          <w:sz w:val="20"/>
        </w:rPr>
        <w:t>(r)</w:t>
      </w:r>
      <w:r>
        <w:rPr>
          <w:rFonts w:ascii="Arial;sans-serif" w:hAnsi="Arial;sans-serif"/>
          <w:b w:val="false"/>
          <w:color w:val="000000"/>
          <w:sz w:val="20"/>
          <w:u w:val="single"/>
        </w:rPr>
        <w:t>Severability and Reformation</w:t>
      </w:r>
      <w:r>
        <w:rPr>
          <w:rFonts w:ascii="Arial;sans-serif" w:hAnsi="Arial;sans-serif"/>
          <w:b w:val="false"/>
          <w:color w:val="000000"/>
          <w:sz w:val="20"/>
        </w:rPr>
        <w:t xml:space="preserve">. If any provision of this Section 19 is held to be invalid, illegal or unenforceable in any respect by a court of competent jurisdiction, such provision shall be deemed to be severed from the Award Agreement and such invalidity, illegality or unenforceability will not affect any other provision of the Award Agreement, all of which shall remain valid and enforceable. Notwithstanding the foregoing, if a court of competent jurisdiction determines that the covenants contained in this Section 19 are unenforceable because they are overbroad in some respect, to the full extent permitted by applicable law, the court should sever, revise or reform any aspect of this Section 19 so as to make the scope of such Section 19 as broad as reasonable under applicable law and enforce this Section 19 as so modified. Without limiting the foregoing, if a court, government agency or other body of competent jurisdiction establishes or the Corporation otherwise determines that the covenants contained in this Award Agreement are unenforceable and/or in violation of applicable rules, the Corporation reserves the right to unilaterally amend the Award Agreement so as to comply with applicable rules.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67665"/>
                <wp:effectExtent l="0" t="0" r="0" b="0"/>
                <wp:wrapNone/>
                <wp:docPr id="161" name="Frame1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(s)</w:t>
      </w:r>
      <w:r>
        <w:rPr>
          <w:rFonts w:ascii="Arial;sans-serif" w:hAnsi="Arial;sans-serif"/>
          <w:b w:val="false"/>
          <w:color w:val="000000"/>
          <w:sz w:val="20"/>
          <w:u w:val="single"/>
        </w:rPr>
        <w:t>Integration</w:t>
      </w:r>
      <w:r>
        <w:rPr>
          <w:rFonts w:ascii="Arial;sans-serif" w:hAnsi="Arial;sans-serif"/>
          <w:b w:val="false"/>
          <w:color w:val="000000"/>
          <w:sz w:val="20"/>
        </w:rPr>
        <w:t>. All prior and existing non-compete, non-solicitation, confidentiality and business ideas covenants that the Participant may have with the Corporation or any Affiliate, including but not limited to any restrictive covenants that the Participant may have in any separate agreements with the Corporation or any Affiliate (“non-local restrictive covenants”), whether or not such non-local restrictive covenants have been agreed to before or after execution of this Award Agreement, shall continue to apply to the Participant, unless otherwise determined by the Corporation in its sole discretion.</w:t>
      </w:r>
    </w:p>
    <w:p>
      <w:pPr>
        <w:pStyle w:val="TextBody"/>
        <w:bidi w:val="0"/>
        <w:spacing w:lineRule="auto" w:line="288" w:before="0" w:after="240"/>
        <w:jc w:val="left"/>
        <w:rPr/>
      </w:pPr>
      <w:r>
        <w:rPr>
          <w:rFonts w:ascii="Arial;sans-serif" w:hAnsi="Arial;sans-serif"/>
          <w:b w:val="false"/>
          <w:color w:val="000000"/>
          <w:sz w:val="20"/>
        </w:rPr>
        <w:t>(t)</w:t>
      </w:r>
      <w:r>
        <w:rPr>
          <w:rFonts w:ascii="Arial;sans-serif" w:hAnsi="Arial;sans-serif"/>
          <w:b w:val="false"/>
          <w:color w:val="000000"/>
          <w:sz w:val="20"/>
          <w:u w:val="single"/>
        </w:rPr>
        <w:t>Advice to Seek Independent Counsel</w:t>
      </w:r>
      <w:r>
        <w:rPr>
          <w:rFonts w:ascii="Arial;sans-serif" w:hAnsi="Arial;sans-serif"/>
          <w:b w:val="false"/>
          <w:color w:val="000000"/>
          <w:sz w:val="20"/>
        </w:rPr>
        <w:t>. The Participant is hereby advised in writing to consult with an attorney before entering into the covenants outlined in this Section 19. The Participant acknowledges that prior to acceptance of this Award Agreement, the Participant has been advised by the Corporation of the Participant's right to seek independent advice from an attorney of the Participant's own selection regarding this Award Agreement, including the restraints imposed upon the Participant pursuant to this Section 19. The Participant acknowledges that the Participant has entered into this Award Agreement knowingly and voluntarily and with full knowledge and understanding of the provisions of this Award Agreement after being given the opportunity to consult with counsel. The Participant further represents that in entering into this Award Agreement, the Participant is not relying on any statements or representations made by any of the Corporations' directors, officers, employees or agents which are not expressly set forth herein, and that the Participant is relying only upon the Participant's own judgment and any advice provided by the Participant's attorney. The Participant acknowledges he or she has been provided at minimum 14 calendar days to review the provisions contained herein.</w:t>
      </w:r>
    </w:p>
    <w:p>
      <w:pPr>
        <w:pStyle w:val="TextBody"/>
        <w:bidi w:val="0"/>
        <w:spacing w:lineRule="auto" w:line="288" w:before="0" w:after="240"/>
        <w:jc w:val="left"/>
        <w:rPr/>
      </w:pPr>
      <w:r>
        <w:rPr>
          <w:rFonts w:ascii="Arial;sans-serif" w:hAnsi="Arial;sans-serif"/>
          <w:b w:val="false"/>
          <w:color w:val="000000"/>
          <w:sz w:val="20"/>
        </w:rPr>
        <w:t>(u)</w:t>
      </w:r>
      <w:r>
        <w:rPr>
          <w:rFonts w:ascii="Arial;sans-serif" w:hAnsi="Arial;sans-serif"/>
          <w:b w:val="false"/>
          <w:color w:val="000000"/>
          <w:sz w:val="20"/>
          <w:u w:val="single"/>
        </w:rPr>
        <w:t>Tolling</w:t>
      </w:r>
      <w:r>
        <w:rPr>
          <w:rFonts w:ascii="Arial;sans-serif" w:hAnsi="Arial;sans-serif"/>
          <w:b w:val="false"/>
          <w:color w:val="000000"/>
          <w:sz w:val="20"/>
        </w:rPr>
        <w:t>. Subject to Section 19(h), if the Participant violates any of the restrictions of this Section 19, the period for all such restrictions shall automatically be extended by the period the Participant was in violation of them.</w:t>
      </w:r>
    </w:p>
    <w:p>
      <w:pPr>
        <w:pStyle w:val="TextBody"/>
        <w:bidi w:val="0"/>
        <w:spacing w:lineRule="auto" w:line="288" w:before="0" w:after="240"/>
        <w:jc w:val="left"/>
        <w:rPr/>
      </w:pPr>
      <w:r>
        <w:rPr>
          <w:rFonts w:ascii="Arial;sans-serif" w:hAnsi="Arial;sans-serif"/>
          <w:b w:val="false"/>
          <w:color w:val="000000"/>
          <w:sz w:val="20"/>
        </w:rPr>
        <w:t>(v)</w:t>
      </w:r>
      <w:r>
        <w:rPr>
          <w:rFonts w:ascii="Arial;sans-serif" w:hAnsi="Arial;sans-serif"/>
          <w:b w:val="false"/>
          <w:color w:val="000000"/>
          <w:sz w:val="20"/>
          <w:u w:val="single"/>
        </w:rPr>
        <w:t>Acknowledgements</w:t>
      </w:r>
      <w:r>
        <w:rPr>
          <w:rFonts w:ascii="Arial;sans-serif" w:hAnsi="Arial;sans-serif"/>
          <w:b w:val="false"/>
          <w:color w:val="000000"/>
          <w:sz w:val="20"/>
        </w:rPr>
        <w:t>. The Participant acknowledges and agrees that employment with the Corporation or any Affiliate affords the Participant unique opportunities for professional and personal development; that the services rendered by the Participant to the Corporation or any Affiliate are of a special and unique character; that the Participant will obtain knowledge and skill relevant to the Corporation's industry, methods of doing business, and strategies by virtue of the Participant's employment; that the Participant may be able to utilize such knowledge to the detriment of the Corporation and its Affiliates; and that the terms and conditions of this Section 19 are reasonable under the circumstances. The Participant further acknowledges that the Participant will not be subject to undue hardship by reason of the Participant's full compliance with the terms and conditions of this Section 19 or the Corporation's or its Affiliate’s enforcement thereof.</w:t>
      </w:r>
    </w:p>
    <w:p>
      <w:pPr>
        <w:pStyle w:val="TextBody"/>
        <w:bidi w:val="0"/>
        <w:spacing w:lineRule="auto" w:line="288" w:before="0" w:after="0"/>
        <w:ind w:left="0" w:right="0" w:hanging="720"/>
        <w:jc w:val="left"/>
        <w:rPr/>
      </w:pPr>
      <w:r>
        <w:rPr>
          <w:rFonts w:ascii="Arial;sans-serif" w:hAnsi="Arial;sans-serif"/>
          <w:b w:val="false"/>
          <w:color w:val="000000"/>
          <w:sz w:val="20"/>
        </w:rPr>
        <w:t>20.    </w:t>
      </w:r>
      <w:r>
        <w:rPr>
          <w:rFonts w:ascii="Arial;sans-serif" w:hAnsi="Arial;sans-serif"/>
          <w:b w:val="false"/>
          <w:color w:val="000000"/>
          <w:sz w:val="20"/>
          <w:u w:val="single"/>
        </w:rPr>
        <w:t>Restrictive Covenants For Participants Outside the U.S</w:t>
      </w:r>
      <w:r>
        <w:rPr>
          <w:rFonts w:ascii="Arial;sans-serif" w:hAnsi="Arial;sans-serif"/>
          <w:b w:val="false"/>
          <w:color w:val="000000"/>
          <w:sz w:val="20"/>
        </w:rPr>
        <w:t xml:space="preserve">. </w:t>
      </w:r>
    </w:p>
    <w:p>
      <w:pPr>
        <w:pStyle w:val="TextBody"/>
        <w:bidi w:val="0"/>
        <w:spacing w:before="0" w:after="0"/>
        <w:ind w:left="0" w:right="0" w:hanging="720"/>
        <w:jc w:val="left"/>
        <w:rPr/>
      </w:pPr>
      <w:r>
        <w:rPr/>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u w:val="single"/>
        </w:rPr>
        <w:t>Application</w:t>
      </w:r>
      <w:r>
        <w:rPr>
          <w:rFonts w:ascii="Arial;sans-serif" w:hAnsi="Arial;sans-serif"/>
          <w:b w:val="false"/>
          <w:color w:val="000000"/>
          <w:sz w:val="20"/>
        </w:rPr>
        <w:t xml:space="preserve">. The provisions of this Section 20 apply to Participants who are employed by an Affiliate located outside the United States and are subject to the laws of a jurisdiction outside of the United States as of the date of termination of the Participant's employment, provided, however, that to the extent the Participant is party to an employment or other agreement with any Affiliate containing non-competition, non-solicitation, confidentiality, business ideas or similar restrictions (the “local restrictive covenants”), whether or not such local restrictive covenants have been agreed to before or after execution of this Award Agreement, those local restrictive covenants and related enforcement provisions shall apply and the following provisions of this Section 20 shall also apply, unless otherwise determined by the Corporation in its sole discretion. Notwithstanding the foregoing, Section 20(k) below shall apply in any case. </w:t>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u w:val="single"/>
        </w:rPr>
        <w:t>Confidentiality</w:t>
      </w:r>
      <w:r>
        <w:rPr>
          <w:rFonts w:ascii="Arial;sans-serif" w:hAnsi="Arial;sans-serif"/>
          <w:b w:val="false"/>
          <w:color w:val="000000"/>
          <w:sz w:val="20"/>
        </w:rPr>
        <w:t xml:space="preserve">. During the Participant’s employment with the Corporation or any Affiliate and indefinitely thereafter, the Participant undertakes to maintain the confidentiality of, and not to divulge to any person (except as required by law) any of the Corporation's or any Affiliate's Confidential Information (as defined below), nor use the same for any other purpose, other than to carry out the Participant’s functions as an employee of the Corporation or any of its Affiliates. The Participant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67665"/>
                <wp:effectExtent l="0" t="0" r="0" b="0"/>
                <wp:wrapNone/>
                <wp:docPr id="162" name="Frame1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use all personal endeavors to prevent publication or disclosure of such Confidential Information. The Participant will comply with the policies and procedures of the Corporation for protecting Confidential Information and shall not disclose to any person or use, other than as required by applicable law or for the proper performance of the Participant’s duties and responsibilities to the Corporation and its Affiliates, any Confidential Information. Nothing in this Award Agreement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including initiating, testifying, assisting, complying with a subpoena from, or participating in any manner with an investigation conducted by a local agency, filing or disclosing any facts necessary to receive social insurance or other public benefits. The Participant shall promptly provide written notice of any such order to an authorized officer of the Corporation. Nothing in this Award Agreement prohibits or restricts the Participant (or Participant's attorney) from initiating communications directly with, responding to an inquiry from, or providing testimony before any regulatory authority. “Confidential Information,” for purposes of this Section 20, shall mean (i) statutory trade secrets; (ii) proprietary information developed or acquired by the Corporation that does not rise to the level of a statutorily protectable trade secret and is made the property of the Corporation through this mutual Agreement of the parties; and (iii) information that is otherwise legally protectable. Such Confidential Information includes, but is not limited to, information in whatever form (including, without limitation, in written, oral, visual or electronic form or on any magnetic or optical disk or memory storage medium, as well as other physical items wherever located, and abstracts or summaries of the foregoing) relating to the business, suppliers, customers, products, affairs and finances of the Corporation or any Affiliate for the time being confidential to the Corporation or any Affiliate, ideas, conceptions, compilations of data, and developments created by the Corporation, whether or not patentable and whether or not copyrightable, and trade secrets including, without limitation, technical data and know-how relating to the business of the Corporation or any Affiliate, or any of their suppliers, customers, agents, distributors, shareholders or management, including (but not limited to) business plans, pricing strategies, financial information, patent rights, patent applications, information concerning tenders and potential contracts, information concerning proposed product ranges, product development information, employee and salary information, research and development activities or manufacturing methods that the Participant creates, develops, receives, obtains or has knowledge of in connection with the Participant's employment, and all other matters which relate to the business of the Corporation or any Affiliate and in respect of which information is not readily available in the ordinary course of such business to the Corporation's Competitors, whether or not such information (if in anything other than oral form) is marked confidential. “Competitor,” for purposes of this Section 20, means a person or entity who engages in a business that is the same or substantially the same as any aspect of the Business of the Corporation. “Business of the Corporation,” for purposes of this Section 20, is the development, production, sales and/or marketing of (i) health and hygiene products and related apparel; (ii) washroom and workplace protective and safety products; (iii) any product for which the Participant had development, marketing, innovation/technology (R&amp;D), distribution, sales, administrative, operational/supply chain, manufacturing oversight, or other responsibilities or was provided with regular and material access to Confidential Information; and (iv) the materials, packaging and other components/subcomponents of such products including, without limitation, non-wood plants and products derived therefrom including any fibers, pulps or extracts. </w:t>
      </w:r>
    </w:p>
    <w:p>
      <w:pPr>
        <w:pStyle w:val="TextBody"/>
        <w:bidi w:val="0"/>
        <w:spacing w:lineRule="auto" w:line="288" w:before="0" w:after="240"/>
        <w:jc w:val="left"/>
        <w:rPr/>
      </w:pPr>
      <w:r>
        <w:rPr>
          <w:rFonts w:ascii="Arial;sans-serif" w:hAnsi="Arial;sans-serif"/>
          <w:b w:val="false"/>
          <w:color w:val="000000"/>
          <w:sz w:val="20"/>
        </w:rPr>
        <w:t>(c)</w:t>
      </w:r>
      <w:r>
        <w:rPr>
          <w:rFonts w:ascii="Arial;sans-serif" w:hAnsi="Arial;sans-serif"/>
          <w:b w:val="false"/>
          <w:color w:val="000000"/>
          <w:sz w:val="20"/>
          <w:u w:val="single"/>
        </w:rPr>
        <w:t>Non-Competition</w:t>
      </w:r>
      <w:r>
        <w:rPr>
          <w:rFonts w:ascii="Arial;sans-serif" w:hAnsi="Arial;sans-serif"/>
          <w:b w:val="false"/>
          <w:color w:val="000000"/>
          <w:sz w:val="20"/>
        </w:rPr>
        <w:t xml:space="preserve">. It is acknowledged that the Participant has acquired or will acquire Confidential Information during the Participant’s employment with the Corporation or any Affiliate, and should the Participant’s employment cease, the Participant will inevitably use or disclose the Corporation’s or an Affiliate’s Confidential Information while working in a competitive role. It is further acknowledged that it may be difficult to police Section 20(b) above, prohibiting the disclosure of such Confidential Information as well as the non-solicitation sub-sections set out below. For these reasons, during the term of the Participant’s employment and for the applicable period listed in Appendix B of this Award Agreement following the termination of employment, regardless of the reason for or the manner of termination, the Participant shall not, in any country or countries for which Participant had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67665"/>
                <wp:effectExtent l="0" t="0" r="0" b="0"/>
                <wp:wrapNone/>
                <wp:docPr id="163" name="Frame1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development, marketing, innovation/technology (R&amp;D), distribution, sales, administrative, operational/supply chain, manufacturing oversight, or other responsibilities during the last two (2) years of Participant’s employment or was provided with regular and material access to Confidential Information regarding the Corporation’s or an Affiliate's business operations in that country or countries during the last two (2) years of Participant’s employment, either directly or indirectly, perform duties or undertake responsibilities (including without limitation as an employee, employer, owner, operator, manager, advisor, consultant, contractor, agent, partner, director, officer, volunteer, intern, or any other similar capacity) for a Competitor that are the same or substantially similar to those duties or responsibilities that the Participant performed or undertook for the Corporation or an Affiliate during the two (2) year period prior to the end of the Participant’s employment with the Corporation or an Affiliate. </w:t>
      </w:r>
    </w:p>
    <w:p>
      <w:pPr>
        <w:pStyle w:val="TextBody"/>
        <w:bidi w:val="0"/>
        <w:spacing w:lineRule="auto" w:line="288" w:before="0" w:after="240"/>
        <w:jc w:val="left"/>
        <w:rPr/>
      </w:pPr>
      <w:r>
        <w:rPr>
          <w:rFonts w:ascii="Arial;sans-serif" w:hAnsi="Arial;sans-serif"/>
          <w:b w:val="false"/>
          <w:color w:val="000000"/>
          <w:sz w:val="20"/>
        </w:rPr>
        <w:t>(d)</w:t>
      </w:r>
      <w:r>
        <w:rPr>
          <w:rFonts w:ascii="Arial;sans-serif" w:hAnsi="Arial;sans-serif"/>
          <w:b w:val="false"/>
          <w:color w:val="000000"/>
          <w:sz w:val="20"/>
          <w:u w:val="single"/>
        </w:rPr>
        <w:t>Business Ideas</w:t>
      </w:r>
      <w:r>
        <w:rPr>
          <w:rFonts w:ascii="Arial;sans-serif" w:hAnsi="Arial;sans-serif"/>
          <w:b w:val="false"/>
          <w:color w:val="000000"/>
          <w:sz w:val="20"/>
        </w:rPr>
        <w:t>. The Participant acknowledges that the Corporation owns all rights in all Business Ideas (as defined below). For the avoidance of doubt, in the event an assignment is needed during the term of the Participant's employment with the Corporation or any Affiliate and at any time following the termination of employment, the Participant hereby assigns without further action being required to the Employer all Business Ideas. The Participant shall promptly execute all documents which the Corporation may reasonably require to perfect, maintain and protect its patent, copyright, trade secret, trademark and any and all other rights to such Business Ideas throughout the world, and shall provide other reasonable assistance and cooperation as may be necessary for the Corporation or the Employer to investigate, perfect, maintain and protect those rights, including assistance and cooperation with litigation relating to any Business Ideas. Even after the Participant's employment with the Corporation or any Affiliate terminates, the Participant will continue to be reasonably available to assist the Corporation or the Employer with its efforts to investigate, perfect, maintain and protect rights in any Business Ideas, including assistance with litigation relating to any Business Ideas. “Business Ideas” as used in this Award Agreement means all ideas, concepts, innovations, inventions, strategy, data, developments, and works of authorship, whether or not patentable, both technical and business, which the Participant originates, conceives or develops, either alone or in conjunction with others, at any time during the Participant's employment with the Corporation or any Affiliate, except those which satisfy all three of the following criteria: (i) unrelated to the Corporation's business; (ii) not originated, conceived or developed during the Participant's working hours; and (iii) not originated, conceived or developed by use of any Corporation property such as tools, supplies, equipment, materials, facilities or other Corporation employees. Any idea, concept, innovation, invention, strategy, data, development or work of authorship that the Participant originates, conceives or develops, through the use of Corporation Confidential Information, at any time within six (6) months after the Participant's employment with the Corporation or any Affiliate terminates (for any reason) will be presumed to be a Business Idea unless the Participant can prove otherwise by clear and convincing evidence.</w:t>
      </w:r>
    </w:p>
    <w:p>
      <w:pPr>
        <w:pStyle w:val="TextBody"/>
        <w:bidi w:val="0"/>
        <w:spacing w:lineRule="auto" w:line="288" w:before="0" w:after="240"/>
        <w:jc w:val="left"/>
        <w:rPr/>
      </w:pPr>
      <w:r>
        <w:rPr>
          <w:rFonts w:ascii="Arial;sans-serif" w:hAnsi="Arial;sans-serif"/>
          <w:b w:val="false"/>
          <w:color w:val="000000"/>
          <w:sz w:val="20"/>
        </w:rPr>
        <w:t>(e)</w:t>
      </w:r>
      <w:r>
        <w:rPr>
          <w:rFonts w:ascii="Arial;sans-serif" w:hAnsi="Arial;sans-serif"/>
          <w:b w:val="false"/>
          <w:color w:val="000000"/>
          <w:sz w:val="20"/>
          <w:u w:val="single"/>
        </w:rPr>
        <w:t>Rights to Photographs, Videos, Recordings, and Electronic Images/Waiver of Publicity Rights</w:t>
      </w:r>
      <w:r>
        <w:rPr>
          <w:rFonts w:ascii="Arial;sans-serif" w:hAnsi="Arial;sans-serif"/>
          <w:b w:val="false"/>
          <w:color w:val="000000"/>
          <w:sz w:val="20"/>
        </w:rPr>
        <w:t>. The Participant agrees that the Corporation and its licensee may, and are entitled to, use, exploit, publish, and copyright photographs, videos, audio, and other recordings and electronic images, icons, or figures of or representing Participant (collectively, the “Performance”) relating in any way to the Business of the Corporation that are made during the term of the Participant’s employment (and any derivative works made thereafter), and that the Corporation shall have all of Participant’s rights, title, and interest (if any) in, to, and under any such Performance including, without limitation, privacy, copyright, moral right, and rights of publicity. The Corporation and its licensees may use such Performance without further compensation or any other additional consideration, for any advertising, publishing, social media, or other business or commercial purposes on behalf of the Company both during or after the term of the Participant’s employment.</w:t>
      </w:r>
    </w:p>
    <w:p>
      <w:pPr>
        <w:pStyle w:val="TextBody"/>
        <w:bidi w:val="0"/>
        <w:spacing w:lineRule="auto" w:line="288" w:before="0" w:after="240"/>
        <w:jc w:val="left"/>
        <w:rPr/>
      </w:pPr>
      <w:r>
        <w:rPr>
          <w:rFonts w:ascii="Arial;sans-serif" w:hAnsi="Arial;sans-serif"/>
          <w:b w:val="false"/>
          <w:color w:val="000000"/>
          <w:sz w:val="20"/>
        </w:rPr>
        <w:t>(f)</w:t>
      </w:r>
      <w:r>
        <w:rPr>
          <w:rFonts w:ascii="Arial;sans-serif" w:hAnsi="Arial;sans-serif"/>
          <w:b w:val="false"/>
          <w:color w:val="000000"/>
          <w:sz w:val="20"/>
          <w:u w:val="single"/>
        </w:rPr>
        <w:t>Notification Requirement</w:t>
      </w:r>
      <w:r>
        <w:rPr>
          <w:rFonts w:ascii="Arial;sans-serif" w:hAnsi="Arial;sans-serif"/>
          <w:b w:val="false"/>
          <w:color w:val="000000"/>
          <w:sz w:val="20"/>
        </w:rPr>
        <w:t xml:space="preserve">. During the term of the Participant's employment with the Corporation or any Affiliate and for the period of two (2) years following termination of the Participant’s employment with the Corporation or an Affiliate, the Participant agrees to notify the Corporation in writing prior to accepting new employment, or engaging in any other activity which may violate this Award Agreement, and the Participant agrees to provide in such notice information concerning the anticipated new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67665"/>
                <wp:effectExtent l="0" t="0" r="0" b="0"/>
                <wp:wrapNone/>
                <wp:docPr id="164" name="Frame1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 xml:space="preserve">employment or activity, including, but not limited to: name of new employer; address of new employer; name of new team leader; job title; and scope and responsibilities of the new position. The Participant recognizes that such duty of notification is not affected by the Participant’s belief that such employment may perhaps not violate this Award Agreement or otherwise be unfairly competitive with the Corporation or an Affiliate. The Participant’s written notice should be addressed to the Corporation's General Counsel with subject line Non-Competition Agreement, via email to </w:t>
      </w:r>
      <w:r>
        <w:rPr>
          <w:rFonts w:ascii="Arial;sans-serif" w:hAnsi="Arial;sans-serif"/>
          <w:b w:val="false"/>
          <w:color w:val="0070C0"/>
          <w:sz w:val="20"/>
        </w:rPr>
        <w:t>Noncompete.Notification@kcc.com</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val="false"/>
          <w:color w:val="000000"/>
          <w:sz w:val="20"/>
        </w:rPr>
        <w:t>(g)</w:t>
      </w:r>
      <w:r>
        <w:rPr>
          <w:rFonts w:ascii="Arial;sans-serif" w:hAnsi="Arial;sans-serif"/>
          <w:b w:val="false"/>
          <w:color w:val="000000"/>
          <w:sz w:val="20"/>
          <w:u w:val="single"/>
        </w:rPr>
        <w:t>Other Notification</w:t>
      </w:r>
      <w:r>
        <w:rPr>
          <w:rFonts w:ascii="Arial;sans-serif" w:hAnsi="Arial;sans-serif"/>
          <w:b w:val="false"/>
          <w:color w:val="000000"/>
          <w:sz w:val="20"/>
        </w:rPr>
        <w:t xml:space="preserve">. During the period of two (2) years following termination of the Participant’s employment with the Corporation or an Affiliate, the Participant shall provide a copy of Section 20 of this Award Agreement to each new employer before starting in any new employment. The Participant agrees that the Corporation may notify any third party about the Participant’s obligations under Section 20 of this Award Agreement until such obligations are fulfilled. </w:t>
      </w:r>
    </w:p>
    <w:p>
      <w:pPr>
        <w:pStyle w:val="TextBody"/>
        <w:bidi w:val="0"/>
        <w:spacing w:lineRule="auto" w:line="288" w:before="0" w:after="240"/>
        <w:jc w:val="left"/>
        <w:rPr/>
      </w:pPr>
      <w:r>
        <w:rPr>
          <w:rFonts w:ascii="Arial;sans-serif" w:hAnsi="Arial;sans-serif"/>
          <w:b w:val="false"/>
          <w:color w:val="000000"/>
          <w:sz w:val="20"/>
        </w:rPr>
        <w:t>(h)</w:t>
      </w:r>
      <w:r>
        <w:rPr>
          <w:rFonts w:ascii="Arial;sans-serif" w:hAnsi="Arial;sans-serif"/>
          <w:b w:val="false"/>
          <w:color w:val="000000"/>
          <w:sz w:val="20"/>
          <w:u w:val="single"/>
        </w:rPr>
        <w:t>Non-Solicitation of Business</w:t>
      </w:r>
      <w:r>
        <w:rPr>
          <w:rFonts w:ascii="Arial;sans-serif" w:hAnsi="Arial;sans-serif"/>
          <w:b w:val="false"/>
          <w:color w:val="000000"/>
          <w:sz w:val="20"/>
        </w:rPr>
        <w:t>. During the term of the Participant’s employment and for a period of two (2) years following the termination of employment, regardless of the reason for or the manner of termination, the Participant shall not, either directly or indirectly, on the Participant’s own behalf or on behalf of any other person, firm or company or other entity, solicit, interfere with, entice or endeavor to entice away from the Corporation or any Affiliate any Restricted Customer (as defined below), or seek to conduct Restricted Business (as defined below), or conduct Restricted Business, with any Restricted Customer and/or otherwise persuade, induce, solicit or encourage any person or entity to terminate its contractual relationship with the Corporation or any Affiliate. “Restricted Business,” for purposes of this Section 20, means any business activity carried out by the Participant for the Corporation or any Affiliate during the last two (2) years preceding the Participant’s termination date. “Restricted Customer,” for purposes of this Section 20, means any person, firm or company or other entity who was a customer or distributor of the Corporation or any Affiliate as at the Participant’s termination date or during the last two (2) years preceding the Participant’s termination date, and (i) with whom the Participant had material contact at the Participant’s termination Date or during the last two (2) years preceding the Participant’s termination date, or (ii) in respect of whom, as at the Participant’s termination date or during the last two (2) years preceding the Participant’s termination date, the Participant had Confidential Information, including any Prospective Customer. “Prospective Customer,” for purposes of this Section 20, means any person, firm or company or other entity with whom the Corporation or any Affiliate was involved in negotiations as at the Participant’s termination date or during the last two (2) years preceding the Participant’s termination date, with a view to dealing with it as a customer and/or to conclude a contractual relationship with such entity, and where such negotiations have involved more than nominal expense or time commitment, and/or with whom the Participant had contact at the Participant’s termination date or during the last two (2) years preceding the Participant’s termination date with a view to dealing with it as a customer of the Corporation or any Affiliate and/or to conclude a contractual relationship with such entity or in respect of whom, as at the Participant’s termination date or during the last two (2) years preceding the Participant’s termination date, the Participant had Confidential Information.</w:t>
      </w:r>
    </w:p>
    <w:p>
      <w:pPr>
        <w:pStyle w:val="TextBody"/>
        <w:bidi w:val="0"/>
        <w:spacing w:lineRule="auto" w:line="288" w:before="0" w:after="240"/>
        <w:jc w:val="left"/>
        <w:rPr/>
      </w:pPr>
      <w:r>
        <w:rPr>
          <w:rFonts w:ascii="Arial;sans-serif" w:hAnsi="Arial;sans-serif"/>
          <w:b w:val="false"/>
          <w:color w:val="000000"/>
          <w:sz w:val="20"/>
        </w:rPr>
        <w:t>(i)</w:t>
      </w:r>
      <w:r>
        <w:rPr>
          <w:rFonts w:ascii="Arial;sans-serif" w:hAnsi="Arial;sans-serif"/>
          <w:b w:val="false"/>
          <w:color w:val="000000"/>
          <w:sz w:val="20"/>
          <w:u w:val="single"/>
        </w:rPr>
        <w:t>Non-Solicitation of Employees</w:t>
      </w:r>
      <w:r>
        <w:rPr>
          <w:rFonts w:ascii="Arial;sans-serif" w:hAnsi="Arial;sans-serif"/>
          <w:b w:val="false"/>
          <w:color w:val="000000"/>
          <w:sz w:val="20"/>
        </w:rPr>
        <w:t xml:space="preserve">. For a period of two (2) years following the termination of employment, regardless of the reason for or the manner of termination, the Participant shall not,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or (ii) be otherwise involved in the recruitment of such person, to leave the employment of the Corporation or of any Affiliate. Furthermore, the Participant shall not for a period of two (2) years following the termination date regardless of the reason for or the manner of termination, with respect to any person who was an employee of the Corporation or any Affiliate at the Participant’s termination date and with whom the Participant had material dealings during the last two (2) years preceding the Participant’s termination date, (i) directly or indirectly induce such person to leave the employment of the Corporation or of any Affiliate to become employed by, associated with and/or form part of any business or concern, in any capacity whatsoever,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67665"/>
                <wp:effectExtent l="0" t="0" r="0" b="0"/>
                <wp:wrapNone/>
                <wp:docPr id="165" name="Frame1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Competitor or (ii) be otherwise involved in the recruitment of such person to become employed by, associated with and/or form part of any business or concern, in any capacity whatsoever, of any Competitor. The Participant must inform the Corporation immediately on becoming aware of any such recruitment.</w:t>
      </w:r>
    </w:p>
    <w:p>
      <w:pPr>
        <w:pStyle w:val="TextBody"/>
        <w:bidi w:val="0"/>
        <w:spacing w:lineRule="auto" w:line="288" w:before="0" w:after="240"/>
        <w:jc w:val="left"/>
        <w:rPr/>
      </w:pPr>
      <w:r>
        <w:rPr>
          <w:rFonts w:ascii="Arial;sans-serif" w:hAnsi="Arial;sans-serif"/>
          <w:b w:val="false"/>
          <w:color w:val="000000"/>
          <w:sz w:val="20"/>
        </w:rPr>
        <w:t>(j)</w:t>
      </w:r>
      <w:r>
        <w:rPr>
          <w:rFonts w:ascii="Arial;sans-serif" w:hAnsi="Arial;sans-serif"/>
          <w:b w:val="false"/>
          <w:color w:val="000000"/>
          <w:sz w:val="20"/>
          <w:u w:val="single"/>
        </w:rPr>
        <w:t>Damages and Remedies</w:t>
      </w:r>
      <w:r>
        <w:rPr>
          <w:rFonts w:ascii="Arial;sans-serif" w:hAnsi="Arial;sans-serif"/>
          <w:b w:val="false"/>
          <w:color w:val="000000"/>
          <w:sz w:val="20"/>
        </w:rPr>
        <w:t>. In the event of an anticipated, threatened, or actual breach by the Participant of any of the provisions of this Section 20, the Corporation and its Affiliates shall be entitled to all damages available as a matter of law. The Participant acknowledges and agrees that any damages would not be an adequate remedy to compensate the Corporation or an Affiliate for the harm to the business of the Corporation or the Affiliate and, in such event, agrees that the Corporation or the Affiliate, as applicable, shall be entitled to a temporary restraining order and to injunctive relief to prevent or terminate such anticipated or actual breach, provided, however, that nothing in this Award Agreement shall be construed to limit any additional relief to which the Corporation or the Affiliate may be entitled or the damages otherwise recoverable by the Corporation or the Affiliate in any such event.</w:t>
      </w:r>
    </w:p>
    <w:p>
      <w:pPr>
        <w:pStyle w:val="TextBody"/>
        <w:bidi w:val="0"/>
        <w:spacing w:lineRule="auto" w:line="288" w:before="0" w:after="240"/>
        <w:jc w:val="left"/>
        <w:rPr/>
      </w:pPr>
      <w:r>
        <w:rPr>
          <w:rFonts w:ascii="Arial;sans-serif" w:hAnsi="Arial;sans-serif"/>
          <w:b w:val="false"/>
          <w:color w:val="000000"/>
          <w:sz w:val="20"/>
        </w:rPr>
        <w:t>(k)</w:t>
      </w:r>
      <w:r>
        <w:rPr>
          <w:rFonts w:ascii="Arial;sans-serif" w:hAnsi="Arial;sans-serif"/>
          <w:b w:val="false"/>
          <w:color w:val="000000"/>
          <w:sz w:val="20"/>
          <w:u w:val="single"/>
        </w:rPr>
        <w:t>Forfeiture of Award</w:t>
      </w:r>
      <w:r>
        <w:rPr>
          <w:rFonts w:ascii="Arial;sans-serif" w:hAnsi="Arial;sans-serif"/>
          <w:b w:val="false"/>
          <w:color w:val="000000"/>
          <w:sz w:val="20"/>
        </w:rPr>
        <w:t xml:space="preserve">. In addition to the Corporation's or an Affiliate's ability to pursue injunctive relief to avoid irreparable harm pursuant to Section 20(j), in the event of an actual breach by the Participant of any of the provisions of this Section 20 or of any local restrictive covenant agreement, the Corporation also is entitled to: (i) require the Participant to repay to the Corporation, immediately upon demand, an amount equal to the value of the shares of Common Stock issued on settlement of the RSUs (less $1,000); and (ii) forfeit any portion of the Award that has not yet vested at the time the Corporation becomes aware of the breach. </w:t>
      </w:r>
    </w:p>
    <w:p>
      <w:pPr>
        <w:pStyle w:val="TextBody"/>
        <w:bidi w:val="0"/>
        <w:spacing w:lineRule="auto" w:line="288" w:before="0" w:after="240"/>
        <w:jc w:val="left"/>
        <w:rPr/>
      </w:pPr>
      <w:r>
        <w:rPr>
          <w:rFonts w:ascii="Arial;sans-serif" w:hAnsi="Arial;sans-serif"/>
          <w:b w:val="false"/>
          <w:color w:val="000000"/>
          <w:sz w:val="20"/>
        </w:rPr>
        <w:t>(l)</w:t>
      </w:r>
      <w:r>
        <w:rPr>
          <w:rFonts w:ascii="Arial;sans-serif" w:hAnsi="Arial;sans-serif"/>
          <w:b w:val="false"/>
          <w:color w:val="000000"/>
          <w:sz w:val="20"/>
          <w:u w:val="single"/>
        </w:rPr>
        <w:t>Reimbursement of Fees</w:t>
      </w:r>
      <w:r>
        <w:rPr>
          <w:rFonts w:ascii="Arial;sans-serif" w:hAnsi="Arial;sans-serif"/>
          <w:b w:val="false"/>
          <w:color w:val="000000"/>
          <w:sz w:val="20"/>
        </w:rPr>
        <w:t>. If the Participant violates any of the provisions of this Section 20, or any duty of loyalty or confidentiality imposed by law, in addition to any damages that the Participant may be required to pay, the Participant understands and agrees that the Participant shall be required to reimburse the Corporation for all its costs incurred to enforce this Award Agreement, including but not limited to, all attorneys’ fees.</w:t>
      </w:r>
    </w:p>
    <w:p>
      <w:pPr>
        <w:pStyle w:val="TextBody"/>
        <w:bidi w:val="0"/>
        <w:spacing w:lineRule="auto" w:line="288" w:before="0" w:after="240"/>
        <w:jc w:val="left"/>
        <w:rPr/>
      </w:pPr>
      <w:r>
        <w:rPr>
          <w:rFonts w:ascii="Arial;sans-serif" w:hAnsi="Arial;sans-serif"/>
          <w:b w:val="false"/>
          <w:color w:val="000000"/>
          <w:sz w:val="20"/>
        </w:rPr>
        <w:t>(m)</w:t>
      </w:r>
      <w:r>
        <w:rPr>
          <w:rFonts w:ascii="Arial;sans-serif" w:hAnsi="Arial;sans-serif"/>
          <w:b w:val="false"/>
          <w:color w:val="000000"/>
          <w:sz w:val="20"/>
          <w:u w:val="single"/>
        </w:rPr>
        <w:t>Successors and Beneficiaries</w:t>
      </w:r>
      <w:r>
        <w:rPr>
          <w:rFonts w:ascii="Arial;sans-serif" w:hAnsi="Arial;sans-serif"/>
          <w:b w:val="false"/>
          <w:color w:val="000000"/>
          <w:sz w:val="20"/>
        </w:rPr>
        <w:t>. For purposes of this Section 20, the Corporation and each of its Affiliates shall be deemed to be third party beneficiaries with the right to seek enforcement of any of the provisions of this Section 20. Further, for purposes of this Section 20, references to acting directly or indirectly include acting jointly with or through another person.</w:t>
      </w:r>
    </w:p>
    <w:p>
      <w:pPr>
        <w:pStyle w:val="TextBody"/>
        <w:bidi w:val="0"/>
        <w:spacing w:lineRule="auto" w:line="288" w:before="0" w:after="240"/>
        <w:jc w:val="left"/>
        <w:rPr/>
      </w:pPr>
      <w:r>
        <w:rPr>
          <w:rFonts w:ascii="Arial;sans-serif" w:hAnsi="Arial;sans-serif"/>
          <w:b w:val="false"/>
          <w:color w:val="000000"/>
          <w:sz w:val="20"/>
        </w:rPr>
        <w:t>(n)</w:t>
      </w:r>
      <w:r>
        <w:rPr>
          <w:rFonts w:ascii="Arial;sans-serif" w:hAnsi="Arial;sans-serif"/>
          <w:b w:val="false"/>
          <w:color w:val="000000"/>
          <w:sz w:val="20"/>
          <w:u w:val="single"/>
        </w:rPr>
        <w:t>Prior Restrictive Covenants</w:t>
      </w:r>
      <w:r>
        <w:rPr>
          <w:rFonts w:ascii="Arial;sans-serif" w:hAnsi="Arial;sans-serif"/>
          <w:b w:val="false"/>
          <w:color w:val="000000"/>
          <w:sz w:val="20"/>
        </w:rPr>
        <w:t>. Participant acknowledges and agrees that Participant is not a party to any agreement with any other company containing a confidentiality or noncompetition provision or other restriction that relates to the Business of the Corporation which Participant has not already disclosed to the Corporation or its Affiliates in writing. Participant understands that Participant is prohibited from disclosing or using during Participant’s employment with the Corporation any confidential information or trade secrets that Participant acquired from any previous employer.</w:t>
      </w:r>
    </w:p>
    <w:p>
      <w:pPr>
        <w:pStyle w:val="TextBody"/>
        <w:bidi w:val="0"/>
        <w:spacing w:lineRule="auto" w:line="288" w:before="0" w:after="240"/>
        <w:jc w:val="left"/>
        <w:rPr/>
      </w:pPr>
      <w:r>
        <w:rPr>
          <w:rFonts w:ascii="Arial;sans-serif" w:hAnsi="Arial;sans-serif"/>
          <w:b w:val="false"/>
          <w:color w:val="000000"/>
          <w:sz w:val="20"/>
        </w:rPr>
        <w:t>(o)</w:t>
      </w:r>
      <w:r>
        <w:rPr>
          <w:rFonts w:ascii="Arial;sans-serif" w:hAnsi="Arial;sans-serif"/>
          <w:b w:val="false"/>
          <w:color w:val="000000"/>
          <w:sz w:val="20"/>
          <w:u w:val="single"/>
        </w:rPr>
        <w:t>Modification</w:t>
      </w:r>
      <w:r>
        <w:rPr>
          <w:rFonts w:ascii="Arial;sans-serif" w:hAnsi="Arial;sans-serif"/>
          <w:b w:val="false"/>
          <w:color w:val="000000"/>
          <w:sz w:val="20"/>
        </w:rPr>
        <w:t>. No waiver, modification, or amendment of any term of this Award Agreement shall be valid unless made in writing specifying such waiver, modification, or amendment, and signed by an officer of the Corporation. Notwithstanding the foregoing, no waiver, modification, or amendment of this Award Agreement shall be effective if it would cause this Award or any payment or benefit hereunder to be subject to, or fail to comply with, Section 409A of the Code.</w:t>
      </w:r>
    </w:p>
    <w:p>
      <w:pPr>
        <w:pStyle w:val="TextBody"/>
        <w:bidi w:val="0"/>
        <w:spacing w:lineRule="auto" w:line="288" w:before="0" w:after="240"/>
        <w:jc w:val="left"/>
        <w:rPr/>
      </w:pPr>
      <w:r>
        <w:rPr>
          <w:rFonts w:ascii="Arial;sans-serif" w:hAnsi="Arial;sans-serif"/>
          <w:b w:val="false"/>
          <w:color w:val="000000"/>
          <w:sz w:val="20"/>
        </w:rPr>
        <w:t>(p)</w:t>
      </w:r>
      <w:r>
        <w:rPr>
          <w:rFonts w:ascii="Arial;sans-serif" w:hAnsi="Arial;sans-serif"/>
          <w:b w:val="false"/>
          <w:color w:val="000000"/>
          <w:sz w:val="20"/>
          <w:u w:val="single"/>
        </w:rPr>
        <w:t>Severability and Reformation</w:t>
      </w:r>
      <w:r>
        <w:rPr>
          <w:rFonts w:ascii="Arial;sans-serif" w:hAnsi="Arial;sans-serif"/>
          <w:b w:val="false"/>
          <w:color w:val="000000"/>
          <w:sz w:val="20"/>
        </w:rPr>
        <w:t xml:space="preserve">. If any provision of this Section 20 is held to be invalid, illegal or unenforceable in any respect by a court of competent jurisdiction, such provision shall be deemed to be severed from the Award Agreement and such invalidity, illegality or unenforceability will not affect any other provision of the Award Agreement, all of which shall remain valid and enforceable. Notwithstanding the foregoing, if a court of competent jurisdiction determines that the covenants contained in this Section 20 are unenforceable because they are overbroad in some respect, to the full extent permitted by applicable law, the court should sever, revise or reform any aspect of this Section 20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67665"/>
                <wp:effectExtent l="0" t="0" r="0" b="0"/>
                <wp:wrapNone/>
                <wp:docPr id="166" name="Frame1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so as to make the scope of such Section 20 as broad as reasonable under applicable law and enforce this Section 20 as so modified. Without limiting the foregoing, if a court, government agency or other body of competent jurisdiction establishes or the Corporation otherwise determines that the covenants contained in this Award Agreement are unenforceable and/or in violation of applicable rules, the Corporation reserves the right to unilaterally amend the Award Agreement so as to comply with applicable rules. </w:t>
      </w:r>
    </w:p>
    <w:p>
      <w:pPr>
        <w:pStyle w:val="TextBody"/>
        <w:bidi w:val="0"/>
        <w:spacing w:lineRule="auto" w:line="288" w:before="0" w:after="240"/>
        <w:jc w:val="left"/>
        <w:rPr/>
      </w:pPr>
      <w:r>
        <w:rPr>
          <w:rFonts w:ascii="Arial;sans-serif" w:hAnsi="Arial;sans-serif"/>
          <w:b w:val="false"/>
          <w:color w:val="000000"/>
          <w:sz w:val="20"/>
        </w:rPr>
        <w:t>(q)</w:t>
      </w:r>
      <w:r>
        <w:rPr>
          <w:rFonts w:ascii="Arial;sans-serif" w:hAnsi="Arial;sans-serif"/>
          <w:b w:val="false"/>
          <w:color w:val="000000"/>
          <w:sz w:val="20"/>
          <w:u w:val="single"/>
        </w:rPr>
        <w:t>Tolling</w:t>
      </w:r>
      <w:r>
        <w:rPr>
          <w:rFonts w:ascii="Arial;sans-serif" w:hAnsi="Arial;sans-serif"/>
          <w:b w:val="false"/>
          <w:color w:val="000000"/>
          <w:sz w:val="20"/>
        </w:rPr>
        <w:t>. If the Participant violates any of the restrictions of this Section 20, the period for all such restrictions shall automatically be extended by the period the Participant was in violation of them.</w:t>
      </w:r>
    </w:p>
    <w:p>
      <w:pPr>
        <w:pStyle w:val="TextBody"/>
        <w:bidi w:val="0"/>
        <w:spacing w:lineRule="auto" w:line="288" w:before="0" w:after="240"/>
        <w:jc w:val="left"/>
        <w:rPr/>
      </w:pPr>
      <w:r>
        <w:rPr>
          <w:rFonts w:ascii="Arial;sans-serif" w:hAnsi="Arial;sans-serif"/>
          <w:b w:val="false"/>
          <w:color w:val="000000"/>
          <w:sz w:val="20"/>
        </w:rPr>
        <w:t>(r)</w:t>
      </w:r>
      <w:r>
        <w:rPr>
          <w:rFonts w:ascii="Arial;sans-serif" w:hAnsi="Arial;sans-serif"/>
          <w:b w:val="false"/>
          <w:color w:val="000000"/>
          <w:sz w:val="20"/>
          <w:u w:val="single"/>
        </w:rPr>
        <w:t>Acknowledgements</w:t>
      </w:r>
      <w:r>
        <w:rPr>
          <w:rFonts w:ascii="Arial;sans-serif" w:hAnsi="Arial;sans-serif"/>
          <w:b w:val="false"/>
          <w:color w:val="000000"/>
          <w:sz w:val="20"/>
        </w:rPr>
        <w:t>. The Participant acknowledges and agrees that employment with the Corporation or any Affiliate affords the Participant unique opportunities for professional and personal development; that the services rendered by the Participant to the Corporation or any Affiliate are of a special and unique character; that the Participant will obtain knowledge and skill relevant to the Corporation's industry, methods of doing business, and strategies by virtue of the Participant's employment; that the Participant may be able to utilize such knowledge to the detriment of the Corporation and its Affiliates; and that the terms and conditions of this Section 20 are reasonable under the circumstances. The Participant further acknowledges that the Participant will not be subject to undue hardship by reason of the Participant's full compliance with the terms and conditions of this Section 20 or the Corporation's or its Affiliates’ enforcement thereof.</w:t>
      </w:r>
    </w:p>
    <w:p>
      <w:pPr>
        <w:pStyle w:val="TextBody"/>
        <w:bidi w:val="0"/>
        <w:spacing w:lineRule="auto" w:line="288" w:before="0" w:after="240"/>
        <w:jc w:val="left"/>
        <w:rPr/>
      </w:pPr>
      <w:r>
        <w:rPr>
          <w:rFonts w:ascii="Arial;sans-serif" w:hAnsi="Arial;sans-serif"/>
          <w:b w:val="false"/>
          <w:color w:val="000000"/>
          <w:sz w:val="20"/>
        </w:rPr>
        <w:t>(s)</w:t>
      </w:r>
      <w:r>
        <w:rPr>
          <w:rFonts w:ascii="Arial;sans-serif" w:hAnsi="Arial;sans-serif"/>
          <w:b w:val="false"/>
          <w:color w:val="000000"/>
          <w:sz w:val="20"/>
          <w:u w:val="single"/>
        </w:rPr>
        <w:t>Integration</w:t>
      </w:r>
      <w:r>
        <w:rPr>
          <w:rFonts w:ascii="Arial;sans-serif" w:hAnsi="Arial;sans-serif"/>
          <w:b w:val="false"/>
          <w:color w:val="000000"/>
          <w:sz w:val="20"/>
        </w:rPr>
        <w:t>. All prior and existing non-compete, non-solicitation, confidentiality and business ideas covenants that the Participant may have with the Corporation or any Affiliate, including but not limited to any restrictive covenants that the Participant may have in any separate agreements with the Corporation or any Affiliate (“non-local restrictive covenants”), whether or not such non-local restrictive covenants have been agreed to before or after execution of this Award Agreement, shall continue to apply to the Participant, unless otherwise determined by the Corporation in its sole discretion.</w:t>
      </w:r>
    </w:p>
    <w:p>
      <w:pPr>
        <w:pStyle w:val="TextBody"/>
        <w:bidi w:val="0"/>
        <w:spacing w:lineRule="auto" w:line="288" w:before="0" w:after="240"/>
        <w:jc w:val="left"/>
        <w:rPr/>
      </w:pPr>
      <w:r>
        <w:rPr>
          <w:rFonts w:ascii="Arial;sans-serif" w:hAnsi="Arial;sans-serif"/>
          <w:b w:val="false"/>
          <w:color w:val="000000"/>
          <w:sz w:val="20"/>
        </w:rPr>
        <w:t>(t)</w:t>
      </w:r>
      <w:r>
        <w:rPr>
          <w:rFonts w:ascii="Arial;sans-serif" w:hAnsi="Arial;sans-serif"/>
          <w:b w:val="false"/>
          <w:color w:val="000000"/>
          <w:sz w:val="20"/>
          <w:u w:val="single"/>
        </w:rPr>
        <w:t>Advice to Seek Independent Counsel</w:t>
      </w:r>
      <w:r>
        <w:rPr>
          <w:rFonts w:ascii="Arial;sans-serif" w:hAnsi="Arial;sans-serif"/>
          <w:b w:val="false"/>
          <w:color w:val="000000"/>
          <w:sz w:val="20"/>
        </w:rPr>
        <w:t>. The Participant is hereby advised in writing to consult with an attorney before entering into the covenants outlined in this Section 20. The Participant acknowledges that prior to acceptance of this Award Agreement, the Participant has been advised by the Corporation of the Participant's right to seek independent advice from an attorney of the Participant's own selection regarding this Award Agreement, including the restraints imposed upon the Participant pursuant to this Section 20. The Participant acknowledges that the Participant has entered into this Award Agreement knowingly and voluntarily and with full knowledge and understanding of the provisions of this Award Agreement after being given the opportunity to consult with counsel. The Participant further represents that in entering into this Award Agreement, the Participant is not relying on any statements or representations made by any of the Corporations' directors, officers, employees or agents which are not expressly set forth herein, and that the Participant is relying only upon the Participant's own judgment and any advice provided by the Participant's attorney.</w:t>
      </w:r>
    </w:p>
    <w:p>
      <w:pPr>
        <w:pStyle w:val="TextBody"/>
        <w:bidi w:val="0"/>
        <w:spacing w:lineRule="auto" w:line="288" w:before="0" w:after="240"/>
        <w:jc w:val="left"/>
        <w:rPr/>
      </w:pPr>
      <w:r>
        <w:rPr>
          <w:rFonts w:ascii="Arial;sans-serif" w:hAnsi="Arial;sans-serif"/>
          <w:b w:val="false"/>
          <w:color w:val="000000"/>
          <w:sz w:val="20"/>
        </w:rPr>
        <w:t>21.    </w:t>
      </w:r>
      <w:r>
        <w:rPr>
          <w:rFonts w:ascii="Arial;sans-serif" w:hAnsi="Arial;sans-serif"/>
          <w:b w:val="false"/>
          <w:color w:val="000000"/>
          <w:sz w:val="20"/>
          <w:u w:val="single"/>
        </w:rPr>
        <w:t>Forfeiture and Recoupment</w:t>
      </w:r>
      <w:r>
        <w:rPr>
          <w:rFonts w:ascii="Arial;sans-serif" w:hAnsi="Arial;sans-serif"/>
          <w:b w:val="false"/>
          <w:color w:val="000000"/>
          <w:sz w:val="20"/>
        </w:rPr>
        <w:t xml:space="preserve">. </w:t>
      </w:r>
    </w:p>
    <w:p>
      <w:pPr>
        <w:pStyle w:val="TextBody"/>
        <w:bidi w:val="0"/>
        <w:spacing w:lineRule="auto" w:line="288" w:before="0" w:after="240"/>
        <w:jc w:val="left"/>
        <w:rPr/>
      </w:pPr>
      <w:r>
        <w:rPr>
          <w:rFonts w:ascii="Arial;sans-serif" w:hAnsi="Arial;sans-serif"/>
          <w:b w:val="false"/>
          <w:color w:val="000000"/>
          <w:sz w:val="20"/>
        </w:rPr>
        <w:t>(a)</w:t>
      </w:r>
      <w:r>
        <w:rPr>
          <w:rFonts w:ascii="Arial;sans-serif" w:hAnsi="Arial;sans-serif"/>
          <w:b w:val="false"/>
          <w:color w:val="000000"/>
          <w:sz w:val="20"/>
        </w:rPr>
        <w:t xml:space="preserve">The RSUs are subject to the compensation recovery provisions of the Plan. In addition, the RSUs are subject to the Kimberly-Clark Corporation Compensation Recoupment Policy (such policy, as it may be amended from time to time, the “Recoupment Policy”) if the Participant is a Leader (as defined in the Recoupment Policy). The RSUs are also subject to the Kimberly-Clark Corporation Executive Officer Incentive Compensation Recovery Policy (such policy, as it may be amended from time to time, the “Recovery Policy”) if the Participant is a Covered Person (as defined in the Recovery Policy). The RSUs are also subject to forfeiture and/or recoupment pursuant to Sections 19(m) and 20(k) herein. A recovery under this Award Agreement may be made by (i) cancelling any RSUs which have not yet vested or been settled; (ii) recovering shares of Common Stock or cash equal to the value of the shares of Common Stock issued on settlement of the RSUs, including shares resulting from dividend equivalents; (iii) recovering proceeds realized by the Participant on the sale of such Common Stock; (iv)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67665"/>
                <wp:effectExtent l="0" t="0" r="0" b="0"/>
                <wp:wrapNone/>
                <wp:docPr id="167" name="Frame1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withholding compensation otherwise due to the Participant; (v) payment by the Participant; and/or (vi) by such other means determined appropriate under the terms of the Recoupment Policy and/or the Recovery Policy. If the Participant is required to repay the Corporation, the Corporation is entitled to offset the payment in a way that is intended to avoid the application of penalties under Section 409A of the Code, if applicable.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Without limiting the foregoing, if, following a Participant’s termination of employment for a reason other than the Participant’s termination for Cause, the Corporation discovers facts that such Participant’s termination of employment could have been for Cause, such Participant’s termination of employment will be deemed to have been for Cause for all purposes, and as a result, (i) the Corporation will not issue shares of Common Stock or any other benefit otherwise payable to the Participant under the Plan and (ii) the Participant will be required to repay to the Corporation all proceeds received under the Plan that would not have been payable to such Participant had such termination of employment been for Cause.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Corporation shall have the right to suspend any and all rights or benefits awarded to the Participant hereunder, including vesting and settlement of the RSUs, pending its investigation and final determination with regard to whether the Participant has engaged in conduct constituting Cause or that would warrant application of the Recoupment Policy or Recovery Policy.</w:t>
      </w:r>
    </w:p>
    <w:p>
      <w:pPr>
        <w:pStyle w:val="TextBody"/>
        <w:bidi w:val="0"/>
        <w:spacing w:lineRule="auto" w:line="288" w:before="0" w:after="240"/>
        <w:jc w:val="left"/>
        <w:rPr/>
      </w:pPr>
      <w:r>
        <w:rPr>
          <w:rFonts w:ascii="Arial;sans-serif" w:hAnsi="Arial;sans-serif"/>
          <w:b w:val="false"/>
          <w:color w:val="000000"/>
          <w:sz w:val="20"/>
        </w:rPr>
        <w:t>(b)</w:t>
      </w:r>
      <w:r>
        <w:rPr>
          <w:rFonts w:ascii="Arial;sans-serif" w:hAnsi="Arial;sans-serif"/>
          <w:b w:val="false"/>
          <w:color w:val="000000"/>
          <w:sz w:val="20"/>
        </w:rPr>
        <w:t>By accepting the Award Grant and the terms of this Award Agreement, the Participant understands, acknowledges and accepts that the grant, shares of Common Stock issued under the Plan and proceeds realized by the Participant pursuant to the Plan are subject to the terms of the Recoupment Policy and the Recovery Policy, which the Participant has reviewed and understands, and the Corporation may seek recovery by any of the methods described in Section 21(a) or other such means determined appropriate under the terms of the Recoupment Policy and/or the Recovery Policy.</w:t>
      </w:r>
    </w:p>
    <w:p>
      <w:pPr>
        <w:pStyle w:val="TextBody"/>
        <w:bidi w:val="0"/>
        <w:spacing w:lineRule="auto" w:line="288" w:before="0" w:after="0"/>
        <w:jc w:val="left"/>
        <w:rPr/>
      </w:pPr>
      <w:r>
        <w:rPr>
          <w:rFonts w:ascii="Arial;sans-serif" w:hAnsi="Arial;sans-serif"/>
          <w:b w:val="false"/>
          <w:color w:val="000000"/>
          <w:sz w:val="20"/>
        </w:rPr>
        <w:t>22.    </w:t>
      </w:r>
      <w:r>
        <w:rPr>
          <w:rFonts w:ascii="Arial;sans-serif" w:hAnsi="Arial;sans-serif"/>
          <w:b w:val="false"/>
          <w:color w:val="000000"/>
          <w:sz w:val="20"/>
          <w:u w:val="single"/>
        </w:rPr>
        <w:t>Whistleblower Statutes</w:t>
      </w:r>
      <w:r>
        <w:rPr>
          <w:rFonts w:ascii="Arial;sans-serif" w:hAnsi="Arial;sans-serif"/>
          <w:b w:val="false"/>
          <w:color w:val="000000"/>
          <w:sz w:val="20"/>
        </w:rPr>
        <w:t>. Notwithstanding anything to the contrary in this Award Agreement, nothing in Sections 19 , 20 or 21 of this Award Agreement is intended to or shall limit, prevent, impede or interfere with the Participant’s non-waivable right, without prior notice to the Corporation, to provide information to the government, participate in investigations, testify in proceedings regarding the Corporation, Employer or any Affiliate’s past or future conduct, engage in any activities protected under whistleblower statutes, or to receive and fully retain a monetary award from a government-administered whistleblower award program for providing information directly to a government agency. The Participant does not need prior authorization from the Corporation to make any such reports or disclosures and is not required to notify the Corporation that the Participant has made such reports or disclosures.</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23.    </w:t>
      </w:r>
      <w:r>
        <w:rPr>
          <w:rFonts w:ascii="Arial;sans-serif" w:hAnsi="Arial;sans-serif"/>
          <w:b w:val="false"/>
          <w:color w:val="000000"/>
          <w:sz w:val="20"/>
          <w:u w:val="single"/>
        </w:rPr>
        <w:t>Section 409A</w:t>
      </w:r>
      <w:r>
        <w:rPr>
          <w:rFonts w:ascii="Arial;sans-serif" w:hAnsi="Arial;sans-serif"/>
          <w:b w:val="false"/>
          <w:color w:val="000000"/>
          <w:sz w:val="20"/>
        </w:rPr>
        <w:t>. It is the intent of this Award Agreement that it and all payments and benefits hereunder be exempt from, or comply with, the requirements of Section 409A of the Code so that none of the RSUs provided under this Award Agreement or shares of Common Stock issuable thereunder will be subject to the additional tax imposed under Section 409A of the Code, and any ambiguities herein will be interpreted to be so exempt or so comply.</w:t>
      </w:r>
    </w:p>
    <w:p>
      <w:pPr>
        <w:pStyle w:val="TextBody"/>
        <w:bidi w:val="0"/>
        <w:spacing w:lineRule="auto" w:line="288" w:before="0" w:after="0"/>
        <w:jc w:val="left"/>
        <w:rPr/>
      </w:pPr>
      <w:r>
        <w:rPr>
          <w:rFonts w:ascii="Arial;sans-serif" w:hAnsi="Arial;sans-serif"/>
          <w:b w:val="false"/>
          <w:color w:val="000000"/>
          <w:sz w:val="20"/>
        </w:rPr>
        <w:t>24.    </w:t>
      </w:r>
      <w:r>
        <w:rPr>
          <w:rFonts w:ascii="Arial;sans-serif" w:hAnsi="Arial;sans-serif"/>
          <w:b w:val="false"/>
          <w:color w:val="000000"/>
          <w:sz w:val="20"/>
          <w:u w:val="single"/>
        </w:rPr>
        <w:t>Acceptance of Award Terms and Conditions</w:t>
      </w:r>
      <w:r>
        <w:rPr>
          <w:rFonts w:ascii="Arial;sans-serif" w:hAnsi="Arial;sans-serif"/>
          <w:b w:val="false"/>
          <w:color w:val="000000"/>
          <w:sz w:val="20"/>
        </w:rPr>
        <w:t xml:space="preserve">. A Participant has until the end of the ninety (90) day period beginning from the Grant Date of this Award to accept this Award Agreement. If the Participant does not accept this Award Agreement on or before the end of such ninety (90) day period, then the grant of the Award, as set forth in Section 1, shall not be binding on and shall be voidable by the Corporation, in which case it shall have no further force or effect.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color w:val="000000"/>
          <w:sz w:val="20"/>
          <w:u w:val="single"/>
        </w:rPr>
      </w:pPr>
      <w:r>
        <w:rPr>
          <w:rFonts w:ascii="Arial;sans-serif" w:hAnsi="Arial;sans-serif"/>
          <w:b/>
          <w:color w:val="000000"/>
          <w:sz w:val="20"/>
          <w:u w:val="single"/>
        </w:rPr>
        <w:t>Acknowledgment of Conditions</w:t>
      </w:r>
    </w:p>
    <w:p>
      <w:pPr>
        <w:pStyle w:val="TextBody"/>
        <w:bidi w:val="0"/>
        <w:spacing w:before="0" w:after="0"/>
        <w:ind w:left="0" w:right="0" w:hanging="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understands, acknowledges and agrees to the following conditions with respect to the Award granted under the Plan: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67665"/>
                <wp:effectExtent l="0" t="0" r="0" b="0"/>
                <wp:wrapNone/>
                <wp:docPr id="168" name="Frame1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19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Plan is established voluntarily by the Corporation, is discretionary in nature and may be modified, amended, suspended, cancelled or terminated at any time, to the extent permitted by the Plan. The grant of an Award is an exceptional, voluntary and occasional benefit and does not create any contractual or other right to receive an Award or benefits in lieu of an Award in the future, even if Awards have been granted in the past. Future grants, if any, will be at the sole discretion of the Corporation, including, but not limited to, the timing of any grant, the number of Awards and vesting provisions.</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Participation in the Plan is voluntary and does not create a right to employment with the Participant’s Employer, shall not be interpreted as forming an employment or service contract with the Corporation, and shall not interfere with the ability of the Employer to terminate the Participant’s employment relationship at any time. The Participant understands that the Corporation has unilaterally, gratuitously and discretionally decided to grant Awards under the Plan to individuals who are employees of the Corporation or its Affiliates throughout the world. The decision is a limited decision that is entered into upon the express assumption and condition that any grant will not economically or otherwise bind the Corporation or any of its Affiliates on an ongoing basis. Consequently, the Participant understands that any grant is given on the assumption and condition that it shall not become a part of any employment contract (either with the Corporation or any of its Affiliates) and shall not be considered a mandatory benefit, salary for any purposes (including severance compensation) or any other right whatsoever. Further, the 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be made but for the assumptions and conditions referred to above; thus, the Participant understands, acknowledges and freely accepts that should any or all of the assumptions be mistaken or should any of the conditions not be met for any reason, then the Award shall be null and void.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Award and the shares of Common Stock subject to the Award, and the income from and value of same, are extraordinary items that do not constitute compensation of any kind for services of any kind rendered to the Corporation or, if different, the Employer, and which are outside the scope of the Participant’s employment contract, if any, and are not intended to replace any pension rights or compensation. As such, the Award, and the income from and value of same, are not part of normal or expected compensation for purposes of calculating any severance, resignation, termination, redundancy, dismissal, end of service payments, bonuses, long-service awards, leave-related payments, holiday pay, pension, retirement or welfare benefits or similar payments and in no event shall be considered as compensation for, or relating in any way to, past services for the Corporation, the Employer or any other Affiliate.</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Unless otherwise agreed with the Corporation, the Award and shares of Common Stock subject to the Award, and the income from and value of same, are not granted as consideration for, or in connection with, any service the Participant may provide as a director of any Affiliate.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future value of the underlying shares of Common Stock is unknown, indeterminable, and cannot be predicted with certainty.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 claim or entitlement to compensation or damages shall arise from forfeiture of the Award or recoupment of any shares of Common Stock acquired under the Plan resulting from (a) the termination of the Participant’s employment by the Corporation or the Employer (regardless of the reason for such termination and whether or not the termination is later found to be invalid or in breach of employment laws); and/or (b) an actual breach by the Participant of Section 19, Section 20, any stand-alone restrictive covenant agreement, or any local restrictive covenant agreement; and/or (c) the application of the Corporation’s Recoupment Policy, Recovery Policy, or any recovery or clawback policy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67665"/>
                <wp:effectExtent l="0" t="0" r="0" b="0"/>
                <wp:wrapNone/>
                <wp:docPr id="169" name="Frame1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Corporation is not providing any tax, legal or financial advice, nor is the Corporation making any recommendations regarding participation in the Plan, or the acquisition or sale of the underlying shares of Common Stock. Further, the Participant understands that he or she should consult with his or her own advisors regarding participation in the Plan before taking any action related to the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Neither the Corporation, the Employer nor any other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of Common Stock acquired upon settlement.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Regardless of any action the Corporation or the Employer takes with respect to any or all income tax (including federal, state and local taxes), social insurance, fringe benefit tax, payroll tax, payment on account or other tax-related items related to the Participant’s participation in the Plan and legally applicable to the Participant (“Tax-Related Items”), the Participant acknowledges that the ultimate liability for all Tax-Related Items is and remains the Participant’s responsibility and may exceed the amount, if any, actually withheld by the Corporation or the Employer. The Participant further acknowledges that the Corporation and/or the Employer (i) make no representations or undertakings regarding the treatment of any Tax-Related Items in connection with any aspect of the Award, including the grant of the RSUs, the vesting of RSUs, the conversion of the RSUs into shares or the receipt of an equivalent cash payment, the subsequent sale of any shares acquired at vesting and the receipt of any dividends or dividend equivalents; and (ii) do not commit to and are under no obligation to structure the terms of the grant or any aspect of the Award to reduce or eliminate the Participant’s liability for Tax-Related Items or achieve any particular tax result. Further, if the Participant is subject to Tax-Related Items in more than one jurisdiction, the Participant acknowledges that the Corporation and/or the Employer (or former employer, as applicable) may be required to withhold or account for Tax-Related Items in more than one jurisdiction.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relevant taxable or tax withholding event, as applicable, the Participant shall pay or make adequate arrangements satisfactory to the Corporation and/or the Employer to satisfy or account for all applicable withholding obligations for Tax-Related Items. In this regard, the Participant authorizes the Corporation or the Employer, or their respective agents, at their discretion, to satisfy their withholding obligations, if any, with regard to all Tax-Related Items by one or a combination of the following:</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    withholding from the Participant’s wages or other cash compensation paid to the Participant by the Corporation and/or the Employer; or</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    withholding from the proceeds of the sale of shares acquired upon vesting of the Award either through a voluntary sale or through a mandatory sale arranged by the Corporation (on the Participant’s behalf, pursuant to this authorization); or</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    withholding shares to be issued upon vesting of the Award;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provided, however, that if the Participant is subject to Section 16 of the U.S. Securities Exchange Act of 1934, as amended, then the Corporation will withhold in shares upon the relevant taxable or tax withholding event, as applicable, unless the use of such withholding method is not feasible under applicable tax or law or has materially adverse accounting consequences, in which case, the obligation for Tax-Related Items may be satisfied by one or a combination of methods (1), (2) and (3) above.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Corporation may withhold or account for Tax-Related Items by considering applicable statutory withholding amounts or other applicable withholding rates, including minimum rates or maximum applicable rates in applicable jurisdictions. In the event of over-withholding, the Participant may receive a refund of any over-withheld amount in cash (with no entitlement to the common stock equivalent), or if not refunded, the Participant may seek a refund from the applicable tax authorities. In the event of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67665"/>
                <wp:effectExtent l="0" t="0" r="0" b="0"/>
                <wp:wrapNone/>
                <wp:docPr id="170" name="Frame1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under-withholding, the Participant may be required to pay additional Tax-Related Items directly to the applicable tax authorities or to the Corporation or the Employer. If the obligation for Tax-Related Items is satisfied by withholding in shares, for tax purposes, the Participant is deemed to have been issued the full number of shares subject to the Award, notwithstanding that a number of shares is held back solely for the purpose of paying the Tax-Related Items due as a result of any aspect of the Participant’s participation in the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 shall pay to the Corporation or to the Employer any amount of Tax-Related Items that the Corporation or the Employer may be required to withhold or account for as a result of the Participant’s participation in the Plan that cannot be satisfied by the means previously described. The Corporation may refuse to deliver shares or the proceeds of the sale of shares to the Participant if he or she fails to comply with his or her obligations in connection with the Tax-Related Items.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Corporation is located at 351 Phelps Drive Irving, TX 75038, USA and grants employees of the Corporation and its Affiliates the opportunity to participate in the Plan, at the Corporation’s sole discretion. If the Participant would like to participate in the Plan and is an employee in a country outside the European Economic Area, the Participant understands that he or she should review the following information about the Corporation’s data processing practices and declare his or her consent. If the Participant is an employee in a country that is a member of the European Economic Area, the Participant should review the information about the Corporation's data processing practices set forth in Appendix A attached hereto. </w:t>
      </w:r>
    </w:p>
    <w:p>
      <w:pPr>
        <w:pStyle w:val="TextBody"/>
        <w:bidi w:val="0"/>
        <w:spacing w:lineRule="auto" w:line="288" w:before="240" w:after="283"/>
        <w:ind w:left="0" w:right="0" w:hanging="360"/>
        <w:jc w:val="left"/>
        <w:rPr/>
      </w:pPr>
      <w:r>
        <w:rPr>
          <w:rFonts w:ascii="Arial;sans-serif" w:hAnsi="Arial;sans-serif"/>
          <w:b/>
          <w:color w:val="000000"/>
          <w:sz w:val="20"/>
        </w:rPr>
        <w:t>(i)</w:t>
      </w:r>
      <w:r>
        <w:rPr>
          <w:rFonts w:ascii="Arial;sans-serif" w:hAnsi="Arial;sans-serif"/>
          <w:b/>
          <w:i/>
          <w:color w:val="000000"/>
          <w:sz w:val="20"/>
        </w:rPr>
        <w:t>Data Collection and Usage. The Corporation collects, processes and uses the Participant’s personal data, including, name, home address, email address and telephone number, date of birth, social insurance number, passport or other identification number, salary, citizenship, nationality, job title, any shares of stock or directorships held in the Corporation, and details of all awards, canceled, vested, or outstanding in the Participant’s favor, which the Corporation receives from the Participant or the Participant’s Employer. If the Corporation offers the Participant the opportunity to participate in the Plan, then the Corporation will collect the Participant’s personal data for purposes of allocating stock and implementing, administering and managing the Plan. The Corporation’s legal basis for the processing of the Participant’s personal data would be the Participant’s consent.</w:t>
      </w:r>
    </w:p>
    <w:p>
      <w:pPr>
        <w:pStyle w:val="TextBody"/>
        <w:bidi w:val="0"/>
        <w:spacing w:lineRule="auto" w:line="288" w:before="240" w:after="283"/>
        <w:ind w:left="0" w:right="0" w:hanging="360"/>
        <w:jc w:val="left"/>
        <w:rPr/>
      </w:pPr>
      <w:r>
        <w:rPr>
          <w:rFonts w:ascii="Arial;sans-serif" w:hAnsi="Arial;sans-serif"/>
          <w:b/>
          <w:color w:val="000000"/>
          <w:sz w:val="20"/>
        </w:rPr>
        <w:t>(ii)</w:t>
      </w:r>
      <w:r>
        <w:rPr>
          <w:rFonts w:ascii="Arial;sans-serif" w:hAnsi="Arial;sans-serif"/>
          <w:b/>
          <w:i/>
          <w:color w:val="000000"/>
          <w:sz w:val="20"/>
        </w:rPr>
        <w:t>Stock Plan Administration Service Providers. The Corporation transfers participant data to Merrill Lynch, an independent service provider based in the United States, which assists the Corporation with the implementation, administration and management of the Plan. In the future, the Corporation may select a different service provider and share the Participant’s data with another company that serves in a similar manner. The Corporation’s service provider will open an account for the Participant. The Participant will be asked to agree on separate terms and data processing practices with the service provider, which is a condition for participation in the Plan.</w:t>
      </w:r>
    </w:p>
    <w:p>
      <w:pPr>
        <w:pStyle w:val="TextBody"/>
        <w:bidi w:val="0"/>
        <w:spacing w:lineRule="auto" w:line="288" w:before="240" w:after="283"/>
        <w:ind w:left="0" w:right="0" w:hanging="360"/>
        <w:jc w:val="left"/>
        <w:rPr/>
      </w:pPr>
      <w:r>
        <w:rPr>
          <w:rFonts w:ascii="Arial;sans-serif" w:hAnsi="Arial;sans-serif"/>
          <w:b/>
          <w:color w:val="000000"/>
          <w:sz w:val="20"/>
        </w:rPr>
        <w:t>(iii)</w:t>
      </w:r>
      <w:r>
        <w:rPr>
          <w:rFonts w:ascii="Arial;sans-serif" w:hAnsi="Arial;sans-serif"/>
          <w:b/>
          <w:i/>
          <w:color w:val="000000"/>
          <w:sz w:val="20"/>
        </w:rPr>
        <w:t xml:space="preserve">International Data Transfers. The Corporation and its service providers are based in the United States. If the Participant is outside of the United States, the Participant should note that his or her country may have enacted data privacy laws that are different from the United States. The Corporation’s legal basis for the transfer of the Participant's personal data is the Participant’s consent. </w:t>
      </w:r>
    </w:p>
    <w:p>
      <w:pPr>
        <w:pStyle w:val="TextBody"/>
        <w:bidi w:val="0"/>
        <w:spacing w:lineRule="auto" w:line="288" w:before="240" w:after="283"/>
        <w:ind w:left="0" w:right="0" w:hanging="360"/>
        <w:jc w:val="left"/>
        <w:rPr/>
      </w:pPr>
      <w:r>
        <w:rPr>
          <w:rFonts w:ascii="Arial;sans-serif" w:hAnsi="Arial;sans-serif"/>
          <w:b/>
          <w:color w:val="000000"/>
          <w:sz w:val="20"/>
        </w:rPr>
        <w:t>(iv)</w:t>
      </w:r>
      <w:r>
        <w:rPr>
          <w:rFonts w:ascii="Arial;sans-serif" w:hAnsi="Arial;sans-serif"/>
          <w:b/>
          <w:i/>
          <w:color w:val="000000"/>
          <w:sz w:val="20"/>
        </w:rPr>
        <w:t xml:space="preserve">Data Retention. The Corporation will use the Participant’s personal data only as long as is necessary to implement, administer and manage his or her participation in the Plan or as required to comply with legal or regulatory obligations, including under tax and security laws. This period may extend until the Participant’s employment or service with the Corporation is terminated, plus any additional time periods necessary for compliance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67665"/>
                <wp:effectExtent l="0" t="0" r="0" b="0"/>
                <wp:wrapNone/>
                <wp:docPr id="171" name="Frame1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with law, exercise or defense of legal rights, and archiving, back-up and deletion processes.</w:t>
      </w:r>
    </w:p>
    <w:p>
      <w:pPr>
        <w:pStyle w:val="TextBody"/>
        <w:bidi w:val="0"/>
        <w:spacing w:lineRule="auto" w:line="288" w:before="240" w:after="283"/>
        <w:ind w:left="0" w:right="0" w:hanging="360"/>
        <w:jc w:val="left"/>
        <w:rPr/>
      </w:pPr>
      <w:r>
        <w:rPr>
          <w:rFonts w:ascii="Arial;sans-serif" w:hAnsi="Arial;sans-serif"/>
          <w:b/>
          <w:color w:val="000000"/>
          <w:sz w:val="20"/>
        </w:rPr>
        <w:t>(v)</w:t>
      </w:r>
      <w:r>
        <w:rPr>
          <w:rFonts w:ascii="Arial;sans-serif" w:hAnsi="Arial;sans-serif"/>
          <w:b/>
          <w:i/>
          <w:color w:val="000000"/>
          <w:sz w:val="20"/>
        </w:rPr>
        <w:t>Voluntariness and Consequences of Consent Denial or Withdrawal. The Participant’s participation in the Plan and the Participant’s grant of consent is purely voluntary. The Participant may deny or withdraw his or her consent at any time. If the Participant does not consent, or if he or she withdraws their consent, the Participant cannot participate in the Plan. This would not affect the Participant’s salary as an employee; the Participant would merely forfeit the opportunities associated with the Plan.</w:t>
      </w:r>
    </w:p>
    <w:p>
      <w:pPr>
        <w:pStyle w:val="TextBody"/>
        <w:bidi w:val="0"/>
        <w:spacing w:lineRule="auto" w:line="288" w:before="240" w:after="283"/>
        <w:ind w:left="0" w:right="0" w:hanging="360"/>
        <w:jc w:val="left"/>
        <w:rPr/>
      </w:pPr>
      <w:r>
        <w:rPr>
          <w:rFonts w:ascii="Arial;sans-serif" w:hAnsi="Arial;sans-serif"/>
          <w:b/>
          <w:color w:val="000000"/>
          <w:sz w:val="20"/>
        </w:rPr>
        <w:t>(vi)</w:t>
      </w:r>
      <w:r>
        <w:rPr>
          <w:rFonts w:ascii="Arial;sans-serif" w:hAnsi="Arial;sans-serif"/>
          <w:b/>
          <w:i/>
          <w:color w:val="000000"/>
          <w:sz w:val="20"/>
        </w:rPr>
        <w:t xml:space="preserve">Data Subject Rights. The Participant has a number of rights under data privacy laws in his or her country. Depending on where the Participant is based, the Participant’s rights may include the right to (i) request access or copies of personal data the Corporation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the rights please contact the Corporation at Attn: Long-term Incentive Plan Administration at Kimberly Clark, 351 Phelps Drive Irving, TX 75038, USA.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also understands that the Corporation may rely on a different legal basis for the processing or transfer of data in the future and/or request that the Participant provides another data privacy consent.  If applicable and upon request of the Corporation, the Participant agrees to provide an executed acknowledgment or data privacy consent form to the Corporation or the Employer (or any other acknowledgments, agreements or consents) that the Corporation and/or the Employer may deem necessary to obtain under the data privacy laws in the Participant’s country, either now or in the future.  The Participant understands that he or she will not be able to participate in the Plan if the Participant fails to execute any such acknowledgment, agreement or consent requested by the Corporation and/or the Employer.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Participant agrees with the data processing practices described in this notice, the Participant will declare his or her consent by clicking the "Accept" icon on the Merrill Lynch website.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 understands that he or she is solely responsible for obtaining/providing whatever exchange control approvals, permits, licenses or notices, which may be necessary for the Award, to acquire the shares or to hold or sell the shares subject to the Award. Neither the Corporation nor its Affiliates will be responsible for obtaining such approvals, licenses or permits, or for making any such notices, nor will the Corporation or its Affiliates be liable for any fines or penalties the Participant may incur for failure to obtain any required approvals, permits or licenses or to make any required notices.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accepting the grant of this Award, the Participant acknowledges that he or she has received a copy of the Plan and the Award Agreement and has reviewed the Plan and the Award Agreement, including Appendix A and Appendix B, in their entirety and fully understands and accepts all provisions of the Plan and the Award Agreement, including Appendix A and Appendix B.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acknowledges that he or she has read and specifically and expressly approves the following sections of the Award Agreement: Section 2(g) on Payment of Tax-Related Items; Section 5 on No Right of Continued Employment; Section 8 on Governing Law and Consent to Jurisdiction; the section on Acknowledgment of Conditions; and the Data Privacy Notice sections of both the Award Agreement and Appendix A for the Participant's country.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Subject to Sections 19(r) and 20(p), the provisions of this Award Agreement are severable and if one or more of the provisions of this Award Agreement shall be held invalid, illegal or otherwise unenforceable,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67665"/>
                <wp:effectExtent l="0" t="0" r="0" b="0"/>
                <wp:wrapNone/>
                <wp:docPr id="172" name="Frame1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whole or in part, the remaining provisions shall nonetheless be binding and enforceable. To the extent that any provisions of this Award Agreement are held to be invalid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 acknowledges that he or she is sufficiently proficient in English, or has consulted with an advisor who is sufficiently proficient in English, so as to allow the Participant to understand the terms and conditions of this Award Agreement. Furthermore, if the Participant has received this Award Agreement or any other document related to the Plan translated into a language other than English and if the meaning of the translated version is different than the English version, the English version will control, unless otherwise explicitly required under applicable laws.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Notwithstanding any provisions in this Award Agreement, the Award shall be subject to any additional terms and conditions set forth in Appendix A to this Award Agreement for the Participant's country. Moreover, if the Participant relocates to any of the countries included in Appendix A, the additional terms and conditions for such country will apply to the Participant, to the extent the Corporation determines that the application of such terms and conditions is necessary or advisable for legal or administrative reasons. Appendix A and Appendix B constitute part of this Award Agreement.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Participant acknowledges that the grant of an Award is expressly conditioned on the restrictive covenants set forth in Sections 19 and 20.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Corporation reserves the right to impose other requirements on the Participant's participation in the Plan, on the Award and on any shares acquired under the Plan, to the extent the Corporation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Corporation may, in its sole discretion, decide to deliver any documents related to current or future participation in the Plan by electronic means. The Participant hereby consents to receive such documents by on-line delivery and agrees to participate in the Plan through an on-line or electronic system established and maintained by the Corporation or a third-party designated by the Corporation.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waiver by the Corporation of breach of any provision of this Award Agreement shall not operate or be construed as a waiver of any other provision of this Award Agreement, or of any subsequent breach by the Participant or any other participant.</w:t>
      </w:r>
    </w:p>
    <w:p>
      <w:pPr>
        <w:pStyle w:val="TextBody"/>
        <w:bidi w:val="0"/>
        <w:spacing w:lineRule="auto" w:line="288" w:before="240" w:after="283"/>
        <w:jc w:val="left"/>
        <w:rPr/>
      </w:pPr>
      <w:r>
        <w:rPr>
          <w:rFonts w:ascii="Arial;sans-serif" w:hAnsi="Arial;sans-serif"/>
          <w:b w:val="false"/>
          <w:color w:val="000000"/>
          <w:sz w:val="20"/>
        </w:rPr>
        <w:t>The Participant may be subject to insider trading restrictions and/or market abuse laws in applicable jurisdictions, which may affect the Participant's ability to, directly or indirectly, accept, acquire, sell, or attempt to sell or otherwise dispose of shares of Common Stock or rights to shares of Common Stock (</w:t>
      </w:r>
      <w:r>
        <w:rPr>
          <w:rFonts w:ascii="Arial;sans-serif" w:hAnsi="Arial;sans-serif"/>
          <w:b w:val="false"/>
          <w:i/>
          <w:color w:val="000000"/>
          <w:sz w:val="20"/>
        </w:rPr>
        <w:t>e.g</w:t>
      </w:r>
      <w:r>
        <w:rPr>
          <w:rFonts w:ascii="Arial;sans-serif" w:hAnsi="Arial;sans-serif"/>
          <w:b w:val="false"/>
          <w:color w:val="000000"/>
          <w:sz w:val="20"/>
        </w:rPr>
        <w:t>., RSUs), or rights linked to the value of shares of Common Stock during such times as the Participant is considered to have “inside information” regarding the Corporation (as defined by the laws in the applicable jurisdictions or the Participant's country). Local insider trading laws and regulations may prohibit the cancellation or amendment of orders the Participant placed before possessing inside information. Furthermore, the Participant may be prohibited from (i) disclosing the inside information to any third party, including fellow employees (other than on a “need to know” basis) and (ii) “tipping” third parties or causing them to otherwise buy or sell Corporation securities.  Any restrictions under these laws or regulations are separate from and in addition to any restrictions that may be imposed under any applicable Corporation insider trading policy.  The Participant is responsible for ensuring his or her compliance with any applicable restrictions and is advised to speak with his or her personal legal advisor on this matter.</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67665"/>
                <wp:effectExtent l="0" t="0" r="0" b="0"/>
                <wp:wrapNone/>
                <wp:docPr id="173" name="Frame1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Participant's country may have certain foreign asset and/or foreign account reporting requirements, tax and/or exchange controls which may affect the Participant's ability to acquire or hold shares of Common Stock acquired under the Plan or cash received from participating in the Plan (including from any dividends paid on shares acquired under the Plan) in a brokerage or bank account outside the Participant's country. The Participant may be required to report such accounts, assets or transactions to the tax or other authorities in the Participant's country. The Participant also may be required to repatriate sale proceeds or other funds received as a result of his or her participation in the Plan to the Participant’s country through a designated bank or broker within a certain time after receipt. In addition, the Participant agrees to take any and all actions, and consent to any and all actions taken by the Corporation or the Employer as may be required to allow the Corporation or the Employer to comply with local laws, rules and regulations in the Participant's country of residence (and country of employment, if different). Finally, the Participant agrees to take any and all actions as may be required to comply with their personal legal and tax obligations under local laws, rules and regulations in their country of residence (and country of employment, if different). The Participant should consult his or her personal legal advisor for any details.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Participant acknowledges that he or she has reviewed the Corporation’s Code of Conduct. The Participant further acknowledges that he or she understands and will comply with the terms and standards contained in that Code of Conduct, including but not limited to the prohibition against retaliation, and specifically acknowledges that he or she has an obligation to report suspected violations of the Code of Conduct pursuant to the Corporation’s Escalation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Conclusion and Acceptance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Participant accepts this grant via electronic signature by clicking the "Accept" icon and certifies that he or she has read, understands and agrees to the terms and conditions of the 2021 Equity Participation Plan (the "Plan"), the provisions of the applicable Award Agreement and all other applicable documents (including any country-specific terms applicable to the Participant's grant). The Participant hereby authorizes the Employer to furnish the Corporation (and any agent administering the Plan or providing recordkeeping services) with such information and data as it shall request in order to facilitate the grant of Awards and enable administration of the Plan and the Participant understands that such information shall be used only as long and to the extent necessary to administer the Participant's participation in the Plan. The Participant agrees that his or her participation in the Plan and the Awards granted to the Participant under the Plan will be governed solely by Delaware law.</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67665"/>
                <wp:effectExtent l="0" t="0" r="0" b="0"/>
                <wp:wrapNone/>
                <wp:docPr id="174" name="Frame1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ANNUAL TIME-VESTED RESTRICTED STOCK UNIT</w:t>
      </w:r>
    </w:p>
    <w:p>
      <w:pPr>
        <w:pStyle w:val="TextBody"/>
        <w:bidi w:val="0"/>
        <w:spacing w:lineRule="auto" w:line="288" w:before="0" w:after="0"/>
        <w:jc w:val="center"/>
        <w:rPr/>
      </w:pPr>
      <w:r>
        <w:rPr>
          <w:rFonts w:ascii="Arial;sans-serif" w:hAnsi="Arial;sans-serif"/>
          <w:b/>
          <w:color w:val="000000"/>
          <w:sz w:val="20"/>
        </w:rPr>
        <w:t>AWARD AGREEMENT</w:t>
      </w:r>
      <w:r>
        <w:rPr>
          <w:color w:val="000000"/>
        </w:rPr>
        <w:t xml:space="preserve"> </w: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APPENDIX 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Certain capitalized terms used but not defined in this Appendix A have the meanings set forth in the Plan and/or the Award Agreement.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Appendix A includes additional terms and conditions that govern the Award granted to the Participant under the Plan if the Participant resides and/or works in any of the countries listed below.</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Appendix A also includes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November 2025. Such laws are often complex and change frequently. As a result, the Participant should not rely on the information noted herein as the only source of information relating to the consequences of the Participant’s participation in the Plan because the information may be out of date at vesting of the Award or the subsequent sale of the shares or receipt of any dividends or dividend equivalents.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the information is general in nature and may not apply to the Participant’s particular situation, and the Corporation is not in a position to assure the Participant of any particular result. Accordingly, the Participant is advised to seek appropriate professional advice as to how the relevant laws in the Participant’s country may apply to the Participant’s situation.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Finally, if the Participant is a citizen or resident of a country other than the one in which the Participant is currently residing and/or working, transferred or transfers employment and or residency after the Award is granted or is considered a resident of another country for local law purposes, the information contained herein may not be applicable to the Participant. The Corporation shall, in its sole discretion, determine to what extent the terms and conditions included herein will apply to the Participant in such circumstances.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EUROPEAN ECONOMIC AREA (INCLUDING THE UNITED KINGDOM) AND SWITZERLAND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Data Protection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Participants resident in a country in the European Economic Area, Switzerland or the United Kingdom, the following language replaces in its entirety the data privacy section in the Acknowledgment of Conditions section of the Award Agreement:</w:t>
      </w:r>
    </w:p>
    <w:p>
      <w:pPr>
        <w:pStyle w:val="TextBody"/>
        <w:bidi w:val="0"/>
        <w:spacing w:lineRule="auto" w:line="288" w:before="0" w:after="240"/>
        <w:ind w:left="0" w:right="0" w:firstLine="540"/>
        <w:jc w:val="left"/>
        <w:rPr/>
      </w:pPr>
      <w:r>
        <w:rPr>
          <w:rFonts w:ascii="Arial;sans-serif" w:hAnsi="Arial;sans-serif"/>
          <w:b w:val="false"/>
          <w:color w:val="000000"/>
          <w:sz w:val="20"/>
        </w:rPr>
        <w:t>(a)</w:t>
      </w:r>
      <w:r>
        <w:rPr>
          <w:color w:val="000000"/>
        </w:rPr>
        <w:t xml:space="preserve"> </w:t>
      </w:r>
      <w:r>
        <w:rPr>
          <w:rFonts w:ascii="Arial;sans-serif" w:hAnsi="Arial;sans-serif"/>
          <w:b/>
          <w:i/>
          <w:color w:val="000000"/>
          <w:sz w:val="20"/>
        </w:rPr>
        <w:t xml:space="preserve">The Participant is hereby notified of the collection, use and transfer outside of the European Economic Area, as described in the Award Agreement, in electronic or other form, of his or her Personal Data (defined below) by and among, as applicable, the Corporation and certain of its Affiliates for the exclusive and legitimate purpose of implementing, administering and managing the Participant’s participation in the Plan. </w:t>
      </w:r>
    </w:p>
    <w:p>
      <w:pPr>
        <w:pStyle w:val="TextBody"/>
        <w:bidi w:val="0"/>
        <w:spacing w:lineRule="auto" w:line="288" w:before="0" w:after="240"/>
        <w:ind w:left="0" w:right="0" w:firstLine="540"/>
        <w:jc w:val="left"/>
        <w:rPr/>
      </w:pPr>
      <w:r>
        <w:rPr>
          <w:rFonts w:ascii="Arial;sans-serif" w:hAnsi="Arial;sans-serif"/>
          <w:b w:val="false"/>
          <w:color w:val="000000"/>
          <w:sz w:val="20"/>
        </w:rPr>
        <w:t>(b)</w:t>
      </w:r>
      <w:r>
        <w:rPr>
          <w:rFonts w:ascii="Arial;sans-serif" w:hAnsi="Arial;sans-serif"/>
          <w:b/>
          <w:i/>
          <w:color w:val="000000"/>
          <w:sz w:val="20"/>
        </w:rPr>
        <w:t>The Participant understands that the Corporation and the Employer hold certain personal information about the Participant, including, but not limited to, the Participant’s name, home address and telephone number, email address, date of birth, social insurance number, passport or other identification number, salary, nationality, job title, any shares of Common Stock or directorships held in the Corporation, details of all entitlement to shares of Common Stock awarded, canceled, exercised, vested, unvested or outstanding in Participant’s favor (“Personal Data”), for the purpose of implementing, administering and managing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67665"/>
                <wp:effectExtent l="0" t="0" r="0" b="0"/>
                <wp:wrapNone/>
                <wp:docPr id="175" name="Frame1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540"/>
        <w:jc w:val="left"/>
        <w:rPr/>
      </w:pPr>
      <w:r>
        <w:rPr>
          <w:rFonts w:ascii="Arial;sans-serif" w:hAnsi="Arial;sans-serif"/>
          <w:b w:val="false"/>
          <w:color w:val="000000"/>
          <w:sz w:val="20"/>
        </w:rPr>
        <w:t>(c)</w:t>
      </w:r>
      <w:r>
        <w:rPr>
          <w:rFonts w:ascii="Arial;sans-serif" w:hAnsi="Arial;sans-serif"/>
          <w:b/>
          <w:i/>
          <w:color w:val="000000"/>
          <w:sz w:val="20"/>
        </w:rPr>
        <w:t xml:space="preserve">The Participant understands that providing the Corporation with this Personal Data is necessary for the performance of the Award Agreement and that the Participant's refusal to provide the Personal Data would make it impossible for the Corporation to perform its contractual obligations and may affect the Participant's ability to participate in the Plan. The Participant's Personal Data shall be accessible within the Corporation only by the persons specifically charged with Personal Data processing operations and by the persons that need to access the Personal Data because of their duties and position in relation to the performance of the Award Agreement. </w:t>
      </w:r>
    </w:p>
    <w:p>
      <w:pPr>
        <w:pStyle w:val="TextBody"/>
        <w:bidi w:val="0"/>
        <w:spacing w:lineRule="auto" w:line="288" w:before="0" w:after="240"/>
        <w:ind w:left="0" w:right="0" w:firstLine="540"/>
        <w:jc w:val="left"/>
        <w:rPr/>
      </w:pPr>
      <w:r>
        <w:rPr>
          <w:rFonts w:ascii="Arial;sans-serif" w:hAnsi="Arial;sans-serif"/>
          <w:b w:val="false"/>
          <w:color w:val="000000"/>
          <w:sz w:val="20"/>
        </w:rPr>
        <w:t>(d)</w:t>
      </w:r>
      <w:r>
        <w:rPr>
          <w:rFonts w:ascii="Arial;sans-serif" w:hAnsi="Arial;sans-serif"/>
          <w:b/>
          <w:i/>
          <w:color w:val="000000"/>
          <w:sz w:val="20"/>
        </w:rPr>
        <w:t>The Personal Data will be held only as long as is necessary to implement, administer and manage the Participant’s participation in the Plan or as required to comply with legal or regulatory obligations, including under tax and security laws. This period may extend until the Participant’s employment or service with the Corporation is terminated, plus any additional time periods necessary for compliance with law, exercise or defense of legal rights, and archiving, back-up and deletion processes. The Participant may, at any time and without cost, contact Long-term Incentive Plan Administration at Kimberly Clark, 351 Phelps Drive Irving, TX 75038, USA to enforce his or her rights under the data protection laws in the Participant's country, which may include the right to (i) request access or copies of Personal Data subject to processing; (ii) request rectification of incorrect Personal Data; (iii) request deletion of Personal Data; (iv) request restriction on processing of Personal Data; (v) request portability of Personal Data; (vi) lodge complaints with competent authorities in the Participant's country; and/or (vii) request a list with the names and addresses of any potential recipients of Personal Data.</w:t>
      </w:r>
    </w:p>
    <w:p>
      <w:pPr>
        <w:pStyle w:val="TextBody"/>
        <w:bidi w:val="0"/>
        <w:spacing w:lineRule="auto" w:line="288" w:before="0" w:after="240"/>
        <w:ind w:left="0" w:right="0" w:firstLine="540"/>
        <w:jc w:val="left"/>
        <w:rPr/>
      </w:pPr>
      <w:r>
        <w:rPr>
          <w:rFonts w:ascii="Arial;sans-serif" w:hAnsi="Arial;sans-serif"/>
          <w:b w:val="false"/>
          <w:color w:val="000000"/>
          <w:sz w:val="20"/>
        </w:rPr>
        <w:t>(e)</w:t>
      </w:r>
      <w:r>
        <w:rPr>
          <w:rFonts w:ascii="Arial;sans-serif" w:hAnsi="Arial;sans-serif"/>
          <w:b/>
          <w:i/>
          <w:color w:val="000000"/>
          <w:sz w:val="20"/>
        </w:rPr>
        <w:t xml:space="preserve">The Corporation provides appropriate safeguards for protecting Personal Data that it receives in the U.S. through its adherence to data transfer agreements entered into between the Corporation and its Affiliates within the European Union. </w:t>
      </w:r>
    </w:p>
    <w:p>
      <w:pPr>
        <w:pStyle w:val="TextBody"/>
        <w:bidi w:val="0"/>
        <w:spacing w:lineRule="auto" w:line="288" w:before="0" w:after="240"/>
        <w:ind w:left="0" w:right="0" w:firstLine="540"/>
        <w:jc w:val="left"/>
        <w:rPr/>
      </w:pPr>
      <w:r>
        <w:rPr>
          <w:rFonts w:ascii="Arial;sans-serif" w:hAnsi="Arial;sans-serif"/>
          <w:b w:val="false"/>
          <w:color w:val="000000"/>
          <w:sz w:val="20"/>
        </w:rPr>
        <w:t>(f)</w:t>
      </w:r>
      <w:r>
        <w:rPr>
          <w:rFonts w:ascii="Arial;sans-serif" w:hAnsi="Arial;sans-serif"/>
          <w:b/>
          <w:i/>
          <w:color w:val="000000"/>
          <w:sz w:val="20"/>
        </w:rPr>
        <w:t xml:space="preserve">Further, the Participant understands that the Corporation will transfer Personal Data to Merrill Lynch and/or such other third parties as may be selected by the Corporation, which are assisting the Corporation with the implementation, administration and management of the Plan. The Corporation may select a different service provider or additional service providers and share Personal Data with such other provider(s) serving in a similar manner. The Participant may be asked to agree on separate terms and data processing practices with the service provider, with such agreement being a condition to the ability to participate in the Plan. </w:t>
      </w:r>
    </w:p>
    <w:p>
      <w:pPr>
        <w:pStyle w:val="TextBody"/>
        <w:bidi w:val="0"/>
        <w:spacing w:lineRule="auto" w:line="288" w:before="0" w:after="240"/>
        <w:ind w:left="0" w:right="0" w:firstLine="540"/>
        <w:jc w:val="left"/>
        <w:rPr/>
      </w:pPr>
      <w:r>
        <w:rPr>
          <w:rFonts w:ascii="Arial;sans-serif" w:hAnsi="Arial;sans-serif"/>
          <w:b w:val="false"/>
          <w:color w:val="000000"/>
          <w:sz w:val="20"/>
        </w:rPr>
        <w:t>(g)</w:t>
      </w:r>
      <w:r>
        <w:rPr>
          <w:rFonts w:ascii="Arial;sans-serif" w:hAnsi="Arial;sans-serif"/>
          <w:b/>
          <w:i/>
          <w:color w:val="000000"/>
          <w:sz w:val="20"/>
        </w:rPr>
        <w:t xml:space="preserve">Merrill Lynch is based in the United States. The Participant's country or jurisdiction may have different data privacy laws and protections than the United States. Notwithstanding, by participating in the Plan, the Participant agrees to the transfer of his or her Personal Data to Merrill Lynch for the exclusive purpose of administering the Participant's participation in the Plan. The Corporation's legal basis, where required, for the transfer of Data to Merrill Lynch is the Participant's consent. </w:t>
      </w:r>
    </w:p>
    <w:p>
      <w:pPr>
        <w:pStyle w:val="TextBody"/>
        <w:bidi w:val="0"/>
        <w:spacing w:lineRule="auto" w:line="288" w:before="0" w:after="240"/>
        <w:ind w:left="0" w:right="0" w:firstLine="540"/>
        <w:jc w:val="left"/>
        <w:rPr/>
      </w:pPr>
      <w:r>
        <w:rPr>
          <w:rFonts w:ascii="Arial;sans-serif" w:hAnsi="Arial;sans-serif"/>
          <w:b w:val="false"/>
          <w:color w:val="000000"/>
          <w:sz w:val="20"/>
        </w:rPr>
        <w:t>(h)</w:t>
      </w:r>
      <w:r>
        <w:rPr>
          <w:rFonts w:ascii="Arial;sans-serif" w:hAnsi="Arial;sans-serif"/>
          <w:b/>
          <w:i/>
          <w:color w:val="000000"/>
          <w:sz w:val="20"/>
        </w:rPr>
        <w:t xml:space="preserve">Finally, the Participant may choose to opt out of allowing the Corporation to share his or her Personal Data with Merrill Lynch and others as described above, although execution of such choice may mean the Corporation cannot grant awards under the Plan to the Participant. For questions about this choice or to make this choice, the Participant should contact Long-term Incentive Plan Administration at Kimberly Clark, 351 Phelps Drive Irving, TX 75038, USA.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67665"/>
                <wp:effectExtent l="0" t="0" r="0" b="0"/>
                <wp:wrapNone/>
                <wp:docPr id="176" name="Frame1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ARGENTINA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RSUs and the underlying shares of Common Stock have not been and will not be publicly issued, placed, distributed, offered or registered in the Argentine capital markets and, as a result, have not been and will not be registered with the Argentine Securities Commission (Comisión Nacional de Valores, “CNV”). Neither the Award Agreement nor any other offering material related to the RSUs nor the underlying shares of Common Stock may be utilized in connection with any general offering to the public in Argentina. Any Argentine resident who acquires shares of Common Stock under the Plan does so under their own responsibility under the terms of a private offering made to the Argentine resident from outside Argentina. Any Argentine resident who acquires shares of Common Stock shall not transfer such shares of Common Stock to any other person within six (6) months of acquiring the shares of Common Stock, unless the transaction is conducted outside Argentina.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Argentine residents must report any shares of Common Stock acquired under the Plan and held on December 31st of each year on their annual tax return for the year.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Please note that exchange control regulations in Argentina are subject to frequent change. The Participant should consult with his or her personal legal advisor regarding any exchange control obligations the Participant may have in connection with the Participant’s participation in the Plan. The Participant must comply with any and all Argentine currency exchange restrictions, approvals and reporting requirements in connection with the vesting of the RSUs, the subsequent sale of any shares acquired at vesting and the receipt of any dividends paid on such shares.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AUSTRALIA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This offer is being made under Division 1A, Part 7.12 of the Australia Corporations Act 2001 (Cth).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Tax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Plan is a plan to which Subdivision 83A-C of the Income Tax Assessment Act 1997 (Cth) (the “Act”) applies (subject to conditions in the Act).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Compliance with Laws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else in the Plan or the Award Agreement, the Participant will not be entitled to and shall not claim any benefit under the Plan if the provision of such benefit would give rise to a breach of Part 2D.2 of the Corporations Act 2001 (Cth.) (the “Act”), any other provision of the Act, or any other applicable statute, rule or regulation which limits or restricts the giving of such benefits. Further, the Employer is under no obligation to seek or obtain the approval of its shareholders in a general meeting for the purpose of overcoming any such limitation or restriction.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Exchange control reporting is required for cash transactions exceeding AUD 10,000 and for international fund transfers. If an Australian bank is assisting with the transaction, the bank will file the report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67665"/>
                <wp:effectExtent l="0" t="0" r="0" b="0"/>
                <wp:wrapNone/>
                <wp:docPr id="177" name="Frame1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Participant’s behalf. If there is no Australian bank involved in the transaction, the Participant will be required to file the report him or herself.</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BAHRAIN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Award Agreement, Plan and all other materials the Participant may receive regarding participation in the Plan do not constitute advertising or the offering of securities in Bahrain, nor do they constitute an allotment of securities in Bahrain. Any shares of Common Stock issued upon settlement of the RSUs will be deposited into a Corporation-designated brokerage account outside Bahrain. In no event will shares of Common Stock be issued or delivered in Bahrain. The issuance of shares of Common Stock pursuant to the RSUs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RSUs or shares of Common Stock in Bahrain, promote these shares of Common Stock to legal entities or individuals in Bahrain, or sell shares of Common Stock directly to other legal entities or individuals in Bahrain. Any disposition or sale of such shares of Common Stock must take place outside Bahrain.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BELGIUM</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Belgian residents are required to report any securities (e.g., shares acquired under the Plan) or bank accounts opened and maintained outside Belgium (e.g., any brokerage account opened in connection with the Plan) on their annual tax returns. Belgian residents are also required to complete a separate report providing the National Bank of Belgium with details regarding any such account, including the account number, the name of the bank in which such account is held and the country in which such account is located. The forms to complete this report are available on the website of the National Bank of Belgium. Belgian residents should consult with their personal tax advisors to determine their personal reporting obligations.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Stock Exchange Tax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 stock exchange tax applies to transactions executed by a Belgian resident through a non-Belgian financial intermediary, such as a U.S. broker. The Stock Exchange Tax likely will apply when the Participant sells shares of Common Stock. The Participant should consult with his or her personal tax advisor for additional details regarding the Participant’s obligations with respect to the Stock Exchange Tax.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Annual Securities Accounts Tax</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cases, the tax will be due on the value of the qualifying securities held in such account. The Participant should consult with his or her personal tax advisor regarding the application of this tax.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BOLIVIA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67665"/>
                <wp:effectExtent l="0" t="0" r="0" b="0"/>
                <wp:wrapNone/>
                <wp:docPr id="178" name="Frame1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29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BRAZIL</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Compliance with Law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acknowledges that he or she agrees to comply with applicable Brazilian laws and pay any and all applicable Tax-Related Items associated with the vesting of the RSUs, the conversion of the RSUs into shares or the receipt of an equivalent cash payment, the receipt of any dividends, and the sale of shares of Common Stock acquired under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agrees that (i) the Participant is making an investment decision; (ii) the shares of Common Stock will be issued to Participant only if the vesting and/or performance conditions are met, and (iii) the value of the underlying shares of Common Stock is not fixed and may increase or decrease in value over the vesting period without compensation to the Participant.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Participant is resident or domiciled in Brazil, he or she will be required to submit annually a declaration of assets and rights held outside of Brazil to the Central Bank of Brazil if the aggregate value of such assets and rights is equal to or greater than US$1,000,000. Assets and rights that must be reported include shares of Common Stock, and may include RSUs.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Tax on Financial Transaction (IOF).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Payments to foreign countries and repatriation of funds into Brazil (including proceeds from the sale) and the conversion of USD into BRL associated with such fund transfers may be subject to the Tax on Financial Transactions. It is the Participant’s responsibility to comply with any applicable Tax on Financial Transactions arising from the Participant’s participation in the Plan. The Participant should consult with his or her personal tax advisor for additional details.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CANADA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is permitted to sell shares acquired through the Plan through the designated broker appointed under the Plan, if any, provided the resale of shares acquired under the Plan takes place outside of Canada through the facilities of a stock exchange on which the shares are listed. The Corporation’s shares are currently listed on the NASDAQ.</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Termination of Employment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replaces Section 2(b) of the Award Agreement:</w:t>
      </w:r>
    </w:p>
    <w:p>
      <w:pPr>
        <w:pStyle w:val="TextBody"/>
        <w:bidi w:val="0"/>
        <w:spacing w:lineRule="auto" w:line="288"/>
        <w:jc w:val="left"/>
        <w:rPr/>
      </w:pPr>
      <w:r>
        <w:rPr>
          <w:rFonts w:ascii="Arial;sans-serif" w:hAnsi="Arial;sans-serif"/>
          <w:b w:val="false"/>
          <w:color w:val="000000"/>
          <w:sz w:val="20"/>
          <w:u w:val="single"/>
        </w:rPr>
        <w:t>Termination of Employment</w:t>
      </w:r>
      <w:r>
        <w:rPr>
          <w:rFonts w:ascii="Arial;sans-serif" w:hAnsi="Arial;sans-serif"/>
          <w:b w:val="false"/>
          <w:color w:val="000000"/>
          <w:sz w:val="20"/>
        </w:rPr>
        <w:t>. For purposes of this Award, except as explicitly and minimally required under applicable legislation or in the event of the other exemptions described in the paragraphs below, (i) the Participant's employment will be considered terminated and (ii) the Participant’s right, if any, to earn, seek damages in lieu of, vest in or otherwise benefit from any portion of the RSUs, the Award or the Plan will be measured by and immediately terminate, as of the date the Participant is no longer actually providing services to the Corporation or one of its Affiliates (regardless of the reason for such termination and whether or not later found to be invalid or in breach of employment laws in the jurisdiction where the Participant is employed or the terms of the Participant's employment agreement, if any) (the “</w:t>
      </w:r>
      <w:r>
        <w:rPr>
          <w:rFonts w:ascii="Arial;sans-serif" w:hAnsi="Arial;sans-serif"/>
          <w:b/>
          <w:color w:val="000000"/>
          <w:sz w:val="20"/>
        </w:rPr>
        <w:t>Termination Date</w:t>
      </w:r>
      <w:r>
        <w:rPr>
          <w:color w:val="000000"/>
        </w:rPr>
        <w:t>”</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67665"/>
                <wp:effectExtent l="0" t="0" r="0" b="0"/>
                <wp:wrapNone/>
                <wp:docPr id="179" name="Frame1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2"/>
        <w:jc w:val="left"/>
        <w:rPr>
          <w:rFonts w:ascii="Arial;sans-serif" w:hAnsi="Arial;sans-serif"/>
          <w:b w:val="false"/>
          <w:color w:val="000000"/>
          <w:sz w:val="20"/>
        </w:rPr>
      </w:pPr>
      <w:r>
        <w:rPr>
          <w:rFonts w:ascii="Arial;sans-serif" w:hAnsi="Arial;sans-serif"/>
          <w:b w:val="false"/>
          <w:color w:val="000000"/>
          <w:sz w:val="20"/>
        </w:rPr>
        <w:t>Except to the extent explicitly and minimally required under applicable legislation, the Termination Date will exclude and will not be extended by any period during which notice, pay in lieu of notice or related payments or damages are provided or required to be provided under statute, contract, common/civil law or otherwise. Subject to the exemptions described in the paragraphs below, the Participant will not earn or be entitled to any pro-rated vesting or other benefits or participation under the Plan for that portion of time before the Termination Date, nor will the Participant be entitled to any compensation for lost vesting or other benefits or participation in the Plan. For clarity, any reference to the termination or cessation of the Participant’s employment, or to a termination date or date of termination, under the Plan or the Award Agreement, will be interpreted to mean the Termination Date as defined above.</w:t>
      </w:r>
    </w:p>
    <w:p>
      <w:pPr>
        <w:pStyle w:val="TextBody"/>
        <w:bidi w:val="0"/>
        <w:spacing w:lineRule="auto" w:line="288" w:before="240" w:after="283"/>
        <w:ind w:left="0" w:right="0" w:hanging="2"/>
        <w:jc w:val="left"/>
        <w:rPr>
          <w:rFonts w:ascii="Arial;sans-serif" w:hAnsi="Arial;sans-serif"/>
          <w:b w:val="false"/>
          <w:color w:val="000000"/>
          <w:sz w:val="20"/>
        </w:rPr>
      </w:pPr>
      <w:r>
        <w:rPr>
          <w:rFonts w:ascii="Arial;sans-serif" w:hAnsi="Arial;sans-serif"/>
          <w:b w:val="false"/>
          <w:color w:val="000000"/>
          <w:sz w:val="20"/>
        </w:rPr>
        <w:t xml:space="preserve">Notwithstanding the foregoing, if applicable employment standards legislation explicitly requires continued vesting or other participation in the Plan during a statutory notice period, the Participant’s right to vest in the RSUs or otherwise participate in or benefit from the Award or the Plan, if any, will terminate effective upon the expiry of the minimum statutory notice period. For clarity, subject to the exemptions described in the paragraphs below, the Participant will not earn or be entitled to pro-rated vesting or other benefits or participation if the vesting date falls after the end of the statutory notice period, nor will the Participant be entitled to any compensation for lost vesting or other benefits or participation.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described above, the Participant shall forfeit any unvested Award, including any accrued dividend equivalents on the Termination Date; provided, however, that if such termination is (i) due to a Qualified Termination of Employment, or (ii) if more than six months from the Grant Date due to death, Retirement, Total and Permanent Disability, or the shutdown or divestiture of a business unit, Participant shall be entitled to pro-rated or full vesting based on the formulas set out in the Award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Subject to applicable legislation, if the date the Participant ceases providing services cannot be reasonably determined under the terms of the Plan or the Award Agreement, the Committee shall have the exclusive discretion to determine when the Participant is no longer employed for purposes of the Award (including whether the Participant may still be considered employed while on a leave of absence). However, a termination of employment shall not be deemed to have occurred while a Participant is on a military leave or other bona fide leave of absence if the period of such leave does not exceed six months, or if longer, so long as the Participant retains a right to reemployment with the Corporation or an Affiliate under an applicable statute or by contract. For purposes of this sub-section, and subject to applicable legislation, a leave of absence constitutes a bona fide leave of absence only if there is a reasonable expectation that the Participant will return to perform services for the Corporation or an Affiliate. Subject to applicable legislation, if the period of leave exceeds six months and the Participant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is substituted for such six-month period in determining whether a termination of employment shall be deemed to have occurred.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termination of employment with the Corporation or an Affiliate to accept immediate reemployment with the Corporation or an Affiliate likewise shall not be deemed to be a termination of employment for the purposes of the Plan. Subject to applicable legislation, a Participant who is classified as an intermittent employee shall be deemed ineligible to further vest in the RSUs or otherwise benefit from or participate in the Award or the Plan as of the date the level of bona fide services the Participant would perform permanently decreases to less than 50 percent of the average level of bona fide services performed over the immediately preceding 36-month period (or the full period of services to the Corporation or an Affiliate if the Participant has been providing such services less than 36 months).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67665"/>
                <wp:effectExtent l="0" t="0" r="0" b="0"/>
                <wp:wrapNone/>
                <wp:docPr id="180" name="Frame1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clarity, a termination of employment includes a termination that is deemed an “unfair dismissal” or a “constructive dismissal.” Further, the Participant understands that the Award is a conditional right. Participant shall forfeit any unvested Award upon termination of employment except as provided above, for example, regardless of whether (1) the Participant is considered to be unfairly dismissed without good cause; (2) the Participant is dismissed for disciplinary or objective reasons or due to a collective dismissal; (3) the Participant terminates his or her employment or service relationship due to a change of work location, duties or any other employment or contractual condition; or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RSUs that were not vested on the Termination Date, as described in the Plan and the Award Agreement.</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Discretionary Nature of Award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replaces Section 13 of the Award Agreement</w:t>
      </w:r>
    </w:p>
    <w:p>
      <w:pPr>
        <w:pStyle w:val="TextBody"/>
        <w:bidi w:val="0"/>
        <w:spacing w:lineRule="auto" w:line="288" w:before="0" w:after="240"/>
        <w:jc w:val="left"/>
        <w:rPr/>
      </w:pPr>
      <w:r>
        <w:rPr>
          <w:rFonts w:ascii="Arial;sans-serif" w:hAnsi="Arial;sans-serif"/>
          <w:b w:val="false"/>
          <w:color w:val="000000"/>
          <w:sz w:val="20"/>
          <w:u w:val="single"/>
        </w:rPr>
        <w:t>Discretionary Nature of Award</w:t>
      </w:r>
      <w:r>
        <w:rPr>
          <w:rFonts w:ascii="Arial;sans-serif" w:hAnsi="Arial;sans-serif"/>
          <w:b w:val="false"/>
          <w:color w:val="000000"/>
          <w:sz w:val="20"/>
        </w:rPr>
        <w:t>. The grant of an Award is a one-time benefit and does not create any contractual or other right to receive a grant of Awards or benefits in lieu of Awards in the future. Future grants, if any, will be at the sole discretion of the Corporation, including, but not limited to, the timing of any grant, the number of RSUs and vesting provisions. The value of the Award is an extraordinary item outside the scope of the Participant’s employment contract, if any. As such, except as explicitly and minimally required under applicable legislation, the Award is not part of normal or expected compensation for purposes of calculating any severance, resignation, termination, redundancy, dismissal, end of service payments, bonuses, long-service awards, leave-related payments, holiday pay, pension, retirement or welfare benefits or similar payments.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Conditions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provisions replace the second, third, fourth and seventh paragraphs of the Acknowledgment of Conditions section of the Award Agreement: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Plan is established voluntarily by the Corporation, is discretionary in nature and may be modified, amended, suspended, cancelled or terminated at any time, to the extent permitted by the Plan. The Plan is operated and the RSUs are granted solely by the Corporation and only the Corporation is a party to this Award Agreement; accordingly, any rights the Participant may have under this Award Agreement may be raised only against the Corporation but not any Affiliates (including, but not limited to, the Employer). Except as explicitly and minimally required under applicable legislation, no Affiliate (including, but not limited to, the Employer) has any obligation to make any payment of any kind to the Participant under this Award Agreement. The grant of an Award is an exceptional, voluntary and occasional benefit and does not create any contractual or other right to receive an Award or benefits in lieu of an Award in the future, even if Awards have been granted in the past. Future grants, if any, will be at the sole discretion of the Corporation, including, but not limited to, the timing of any grant, the number of Awards and vesting provisions.</w:t>
      </w:r>
    </w:p>
    <w:p>
      <w:pPr>
        <w:pStyle w:val="TextBody"/>
        <w:bidi w:val="0"/>
        <w:spacing w:before="0" w:after="0"/>
        <w:ind w:left="0" w:right="0" w:hanging="36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Participation in the Plan is voluntary and does not create a right to employment with the Participant’s Employer, shall not be interpreted as forming an employment or service contract with the Corporation, and shall not interfere with the ability of the Employer to terminate the Participant’s employment relationship at any time, subject to applicable law. The Participant understands that the Corporation has unilaterally, gratuitously and discretionally decided to grant Awards under the Plan to individuals who are employees of the Corporation or its Affiliates throughout the world. The decision is a limited decision that is entered into upon the express assumption and condition that any grant will not economically or otherwise bind the Corporation or any of its Affiliates on an ongoing basis. Consequently, the Participant understands that any grant is given on the assumption and condition that it shall not become a part of any employment contract (either with the Corporation or any of its Affiliates) and, except as explicitly and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67665"/>
                <wp:effectExtent l="0" t="0" r="0" b="0"/>
                <wp:wrapNone/>
                <wp:docPr id="181" name="Frame1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minimally required under applicable legislation, shall not be considered a mandatory benefit, salary for any purposes (including severance compensation) or any other right whatsoever. Further, the 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be made but for the assumptions and conditions referred to above; thus, the Participant understands, acknowledges and freely accepts that should any or all of the assumptions be mistaken or should any of the conditions not be met for any reason, then the Award shall be null and void.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as explicitly and minimally required under applicable legislation, the Award and the shares of Common Stock subject to the Award, and the income from and value of same, are extraordinary items that do not constitute compensation of any kind for services of any kind rendered to the Corporation or, if different, the Employer, and which are outside the scope of the Participant’s employment contract, if any, and are not intended to replace any pension rights or compensation. As such, except as explicitly and minimally required under applicable legislation, the Award, and the income from and value of same, are not part of normal or expected compensation for purposes of calculating any severance, resignation, termination, redundancy, dismissal, end of service payments, bonuses, long-service awards, leave-related payments, holiday pay, pension, retirement or welfare benefits or similar payments and in no event shall be considered as compensation for, or relating in any way to, past services for the Corporation, the Employer or any other Affiliate.</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Except as explicitly and minimally required under applicable legislation, no claim or entitlement to compensation or damages shall arise from forfeiture of the Award or recoupment of any shares of Common Stock acquired under the Plan resulting from (a) the termination of the Participant’s employment by the Corporation or the Employer (regardless of the reason for such termination and whether or not the termination is later found to be invalid or in breach of employment laws); and/or (b) an actual breach by the Participant of Section 19, Section 20, any stand-alone restrictive covenant agreement, or any local restrictive covenant agreement; and/or (c) the application of the Corporation’s Recoupment Policy, Recovery Policy, or any recovery or clawback policy required by law.</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Language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 French translation of the Plan and the Award Agreement can be made available to the Participant as soon as reasonably practicable upon the Participant’s request. The Participant understands that, from time to time, additional information related to the offering of the Plan might be provided in English and such information may not be immediately available in French. However, upon request, the Corporation will translate into French documents related to the offering of the Plan as soon as reasonably practicable.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Une traduction française du Plan et de l'Accord d'Attribution êtremise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Société traduira en français les documents relatifs à l'offre du Plan dès que raisonnablement possible.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Authorization to Release and Transfer Necessary Personal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hereby authorizes the Corporation and the Corporation’s representatives, including the broker(s) designated by the Corporation, to discuss with and obtain all relevant information from all personnel, professional or not, involved in the administration and operation of the Plan. The Participant further authorizes the Corporation, any Affiliate and the plan administrators to disclose and discuss the Plan with their advisors. The Participant further authorizes the Corporation and any Affiliate to record such information and to keep such information in the Participant’s employee file. The Participant acknowledges that the Participant’s personal information, including any sensitive personal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67665"/>
                <wp:effectExtent l="0" t="0" r="0" b="0"/>
                <wp:wrapNone/>
                <wp:docPr id="182" name="Frame1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may be transferred or disclosed outside the Province of Quebec, including to the United States. Finally, the Participant acknowledges that the Corporation, the Employer or any other Affiliate or other parties involved in the administration of the Plan use technology for profiling purposes and to make automated decisions that may have an impact on the Participant or the administration of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Foreign Asset/Account Reporting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Foreign specified property (including shares of Common Stock) held by Canadian residents must be reported annually on Form T1135 (Foreign Income Verification Statement) if the total cost of such foreign specified property exceeds C$100,000 at any time during the year. Foreign specified property includes shares of Common Stock acquired under the Plan and may include the RSUs. The RSUs must be reported - generally at a nil cost - if the $100,000 cost threshold is exceeded because of other foreign property the Participant holds. If shares of Common Stock are acquired, their cost generally is the adjusted cost base (“ACB”) of the shares. The ACB would normally equal the Fair Market Value of the shares at vesting, but if the Participant owns other shares, this ACB may have to be averaged with the ACB of the other shares owned by the Participant. If due, the Form must be filed by April 30 of the following year. The Participant should speak with a personal tax advisor to determine the scope of foreign property that must be considered for purposes of this requirement.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CHILE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RSUs are granted and are made subject to general ruling n° 336 of the Chilean Commission for the Financial Market (“CMF”). This offer refers to securities not registered at the securities registry or at the foreign securities registry of the CMF, and therefore such securities are not subject to its oversight. Given that these securities are not registered in Chile, there is no obligation from the issuer to provide public information on them in Chile. These securities cannot be subject to public offering in Chile while they are not registered at the corresponding securities registry in Chile.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La oferta privada de estos RSUs se inicia y se acoge a las disposiciones de la norma de carácter general nº 336 de la Comisón para el Mercado Financiero (“CMF”). Esta oferta versa sobre valores no inscritos en el registro de valores o en el registro de valores extranjeros que lleva la CMF, por lo que tales valores no están sujetos a la fiscalización de ésta. Por tratarse de valores no inscritos en Chile, no existe la obligación por parte del emisor de entregar en Chile información pública respecto de los mismos. Estos valores no podrán ser objeto de oferta pública en Chile mientras no sean inscritos en el registro de valores correspondiente.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 is not required to repatriate funds obtained from the sale of shares or the receipt of any dividends. However, if the Participant decides to repatriate such funds, the Participant must do so through the Formal Exchange Market if the amount of the funds exceeds US$10,000. In such case, the Participant must report the payment to a commercial bank or registered foreign exchange office receiving the funds.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The Chilean Internal Revenue Service (the “CIRS”) requires all taxpayers to provide</w:t>
        <w:br/>
        <w:t>information annually regarding (i) the results of investments held abroad and (ii) any taxes paid</w:t>
        <w:br/>
        <w:t>abroad which the taxpayers will use as a credit against Chilean income tax. The sworn</w:t>
        <w:br/>
        <w:t>statements disclosing this information (or Formularios) must be submitted electronically</w:t>
        <w:br/>
        <w:t xml:space="preserve">through the CIRS website, </w:t>
      </w:r>
      <w:r>
        <w:rPr>
          <w:rFonts w:ascii="Arial;sans-serif" w:hAnsi="Arial;sans-serif"/>
          <w:b w:val="false"/>
          <w:color w:val="0070C0"/>
          <w:sz w:val="20"/>
        </w:rPr>
        <w:t>www.sii.cl</w:t>
      </w:r>
      <w:r>
        <w:rPr>
          <w:rFonts w:ascii="Arial;sans-serif" w:hAnsi="Arial;sans-serif"/>
          <w:b w:val="false"/>
          <w:color w:val="000000"/>
          <w:sz w:val="20"/>
        </w:rPr>
        <w:t>, using Form 1929, which is due on July 1 each year.</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67665"/>
                <wp:effectExtent l="0" t="0" r="0" b="0"/>
                <wp:wrapNone/>
                <wp:docPr id="183" name="Frame1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CHINA</w:t>
      </w:r>
    </w:p>
    <w:p>
      <w:pPr>
        <w:pStyle w:val="TextBody"/>
        <w:bidi w:val="0"/>
        <w:spacing w:lineRule="auto" w:line="288" w:before="0" w:after="240"/>
        <w:jc w:val="left"/>
        <w:rPr/>
      </w:pPr>
      <w:r>
        <w:rPr>
          <w:rFonts w:ascii="Arial;sans-serif" w:hAnsi="Arial;sans-serif"/>
          <w:b w:val="false"/>
          <w:color w:val="000000"/>
          <w:sz w:val="20"/>
          <w:u w:val="single"/>
        </w:rPr>
        <w:t>The following provisions apply only to Participants who are subject to exchange control restrictions imposed by the State Administration of Foreign Exchange ("SAFE"), as determined by the Corporation in its sole discretion</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Vesting of RSUs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Participant's Employer, Corporation any other Affiliate to which the Participant provides service must be registered with SAFE prior to settlement of the RSUs. If the Corporation is unable to obtain registration approval or is required to obtain further approvals on behalf of the Employer, Corporation or any other Affiliate, the vesting or settlement of the RSUs may be suspended or delayed. Further, the Corporation is under no obligation to vest the RSUs and/or issues shares of Common Stock if the Corporation’s SAFE approval becomes invalid or ceases to be in effect by the time the Participant vests in the RSUs.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Shutdown or Divestiture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replaces Section 2(d)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event that the Participant’s termination of employment is due to the shutdown or divestiture of the Corporation’s or its Affiliate’s business, it shall result in pro rata vesting, as determined by the Committee, and the number of shares that are considered to vest shall be calculated as (1) the total number of RSUs granted under the Award minus the number of RSUs already vested under the Award multiplied by (2) the number of full months of employment during the Restricted Period divided by 36. Any fractional share of the Corporation resulting from such a prorated award shall be rounded to the nearest whole share and shall be paid, along with any other shares earned under such prorated award, within 70 days following the Participant's termination of employment. For the purposes of this Award, a shutdown or divestiture of the Corporation’s or its Affiliate’s business unit is defined as one for which the charges related to the shutdown or divestiture are accounted for, and reported externally, as an exit activity in the Corporation's applicable SEC filings. The Corporation has complete discretion to determine whether a shutdown or divestiture of a business unit has occurred under the terms of the Plan.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Termination of Employment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Except for termination of employment due to Retirement or the shutdown or divestiture of a business unit, as described above, and notwithstanding any other provision in the Award Agreement, the Participant shall forfeit any unvested Award, including any accrued dividend equivalents, upon any termination of employment including, but not limited to, any termination that is due to a Qualified Termination of Employment, death or Total and Permanent Disability.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event that, more than six months after the Grant Date, the Participant’s termination of employment is due to Retirement, then provided that, in the sole discretion of the Corporation, (i) no circumstances exist that could lead to a determination that the Participant should be, or could have been, terminated for Cause; and (ii) an Accounting Restatement (as defined in the Recovery Policy, as applicable) has not occurred and/or the Participant has not engaged in conduct that would trigger the Committee’s right of recoupment under the Corporation's Recoupment Policy (as defined in Section 21 of this Award Agreement), it shall result in 100% vesting of any RSUs that are outstanding and unvested under this Award grant and such Award shall be paid within 70 days following the Participant's termination of employment or such later period as permitted by Section 409A of the Code, subject to Section 20(l) of the Plan, if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67665"/>
                <wp:effectExtent l="0" t="0" r="0" b="0"/>
                <wp:wrapNone/>
                <wp:docPr id="184" name="Frame1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and agrees that he or she must sell any shares of Common Stock issued to him or her upon vesting of the RSUs as soon as practicable following the Participant's termination of employment for any reason and in no event later than three months following the Participant's termination of employment. The Participant agrees that if he or she continues to hold any of such shares of Common Stock after this time, the shares of Common Stock may be sold by the Corporation’s designated broker on the Participant's behalf at the instruction of the Corporation. Therefore, by accepting the RSUs, the Participant understands and agrees that the Corporation is authorized to, and may in its sole discretion, instruct its designated broker to assist with the mandatory sale of shares of Common Stock (on the Participant’s behalf pursuant to this authorization) and that the Participant expressly authorizes the Corporation’s designated broker to complete the sale of such shares of Common Stock. The Participant acknowledges that the Corporation’s designated broker is under no obligation to arrange for the sale of the shares of Common Stock at any particular price. Upon the sale of the shares of Common Stock, the proceeds, less any Tax-Related Items and brokerage fees or commissions will be remitted to the Participant pursuant to the procedures described in the “Exchange Control Information” section below.</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Shares of Common Stock issued to the Participant under the Plan must be maintained in an account with Merrill Lynch or such other broker as may be designated by the Corporation until the shares of Common Stock are sold through that broker. If the Corporation changes its broker, the Participant acknowledges and agrees that the Corporation may transfer any shares of Common Stock issued under the Plan to the new designated broker if necessary for legal or administrative reasons. The Participant agrees to sign any documentation necessary to facilitate the transfer. In addition, the Participant may be required to sell any shares of Common Stock obtained under the Plan if the Corporation determines that the application of such condition is necessary or advisable for China SAFE exchange control, legal or other administrative reasons.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understands and agrees that, to facilitate compliance with exchange control requirements, the Participant will be required to immediately repatriate to China the cash proceeds from the sale of shares of Common Stock acquired upon vesting of the RSUs or from any dividends or dividend equivalents paid on the shares of Common Stock. The Participant further understands that, under local law, such repatriation of the cash proceeds will be effectuated through a special exchange control account established by the Corporation or one of its Affiliates in China, and the Participant hereby consents and agrees that the cash proceeds related to the Participant's participation in the Plan may be transferred to such special account prior to being delivered to the Participant. The Corporation may deliver the proceeds to the Participant in U.S. dollars or local currency at the Corporation's discretion. If the proceeds are paid in U.S. dollars, the Participant understands that he or she will be required to set up a U.S. dollar bank account in China so that the proceeds may be deposited into this account. If the proceeds are converted to local currency, there may be delays in delivering the proceeds to the Participant. The Participant agrees to bear the risk of any currency fluctuation between the time the shares of Common Stock are sold, either through voluntary sale or through a mandatory sale arranged by the Corporation, or proceeds are otherwise realized under the Plan and the time such proceeds are distributed to the Participant through the special exchange control account.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further agrees to comply with any other requirements that may be imposed by the Corporation in the future to facilitate compliance with exchange control requirements in China.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COLOMBIA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shares of Common Stock are not and will not be registered in the Colombian registry of publicly traded securities (Registro Nacional de Valores y Emisores) and therefore the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67665"/>
                <wp:effectExtent l="0" t="0" r="0" b="0"/>
                <wp:wrapNone/>
                <wp:docPr id="185" name="Frame1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2555,2010. In the event that the Corporation, in its sole discretion, determines that the offer of the Awards in Colombia may constitute a “public offer of securities”, the Participant understands and agrees that the Corporation may, in its sole discretion, cease to offer participation in the Plan in Colombia. In the event that the Corporation exercises its discretion to cease offering the Plan in Colombia, the Participant will no longer be permitted to participate in the Plan as of the date established by the Corporation.</w:t>
      </w:r>
    </w:p>
    <w:p>
      <w:pPr>
        <w:pStyle w:val="TextBody"/>
        <w:bidi w:val="0"/>
        <w:spacing w:lineRule="auto" w:line="288" w:before="0" w:after="240"/>
        <w:jc w:val="left"/>
        <w:rPr/>
      </w:pPr>
      <w:r>
        <w:rPr>
          <w:rFonts w:ascii="Arial;sans-serif" w:hAnsi="Arial;sans-serif"/>
          <w:b w:val="false"/>
          <w:i/>
          <w:color w:val="000000"/>
          <w:sz w:val="20"/>
        </w:rPr>
        <w:t>Exchange Control Information</w:t>
      </w:r>
      <w:r>
        <w:rPr>
          <w:color w:val="000000"/>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Colombian residents must register shares of Common Stock acquired under the Plan, regardless of value, with the Central Bank of Colombia (Banco de la República) as foreign investment held abroad. In addition, the liquidation of such investments must be transferred through the Colombian foreign exchange market (e.g. local banks), which includes the obligation of correctly completing and filing the appropriate foreign exchange form (declaración de cambio). The Participant is responsible for complying with applicable exchange control requirements in Colombia.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must file an informative return with the Colombian Tax Office detailing any assets held abroad. If the individual value of any of these assets exceeds a certain threshold, the Participant must describe each asset and indicate the jurisdiction in which it is located, its nature and its value.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Conditions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supplements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that pursuant to Article 128 of the Colombian Labor Code, the Plan and related benefits do not constitute a component of the Participant's “salary” for any legal purpose. To this extent, they will not be included for purposes of calculating any labor benefits, such as legal/fringe benefits, vacation, indemnities, payroll taxes, social insurance contributions and/or any other labor-related amount which may be payable.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COSTA RICA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CZECH REPUBLIC</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Czech National Bank may require the Participant to fulfill certain notification duties in relation to the acquisition of shares of Common Stock and the opening and maintenance of a foreign account (e.g., may be required to report foreign direct investment, financial credits from abroad, investment in foreign securities, and associated collections and payments). However, because exchange control regulations change frequently and without notice, the Participant should consult with his or her personal legal advisor prior to the vesting of the RSUs and the sale of Common Stock to ensure compliance with current regulations. It is the Participant’s responsibility to comply with any applicable Czech exchange control laws.</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67665"/>
                <wp:effectExtent l="0" t="0" r="0" b="0"/>
                <wp:wrapNone/>
                <wp:docPr id="186" name="Frame1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DOMINICAN REPUBLIC</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ECUADOR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declaration include shares of Common Stock acquired under the Plan. The Net Worth Declaration must be filed in May of the following year using the electronic form on the tax authorities’ website (www.sri.gob.ec). Penalties will apply to a late filing, and it is not possible to seek an extension.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Ecuadorian resident individuals are required to report on an annual basis, all monetary assets held in foreign financial entities in excess of US$100,000. The Participant should consult their legal or tax advisor to ensure compliance with all applicable reporting obligations.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EL SALVADOR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FRANCE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RSUs Not Tax-Qualified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understands that this Award is not intended to be French tax-qualified.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Consent to Receive Information in English</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Agreement providing for the terms and conditions of the Participant’s grant, the Participant confirms having read and understood the documents relating to this grant (the Plan and this Award Agreement) which were provided in English language. The Participant accepts the terms of those documents accordingly.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En acceptant le Contrat d'Attribution décrivant les termes et conditions de l’attribution, le participant confirme ainsi avoir lu et compris les documents relatifs à cette attribution (le Plan U.S. et ce Contrat d'Attribution) qui ont été communiqués en langue anglaise. Le participant accepte les termes en connaissance de cause.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French residents holding shares of Common Stock outside of France or maintaining a foreign bank account are required to report such to the French tax authorities when filing their annual tax returns, including any accounts that were opened, held, used and/or closed during the year. Further, failure to comply could trigger significant penalties.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67665"/>
                <wp:effectExtent l="0" t="0" r="0" b="0"/>
                <wp:wrapNone/>
                <wp:docPr id="187" name="Frame1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GERMANY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pPr>
      <w:r>
        <w:rPr>
          <w:rFonts w:ascii="Arial;sans-serif" w:hAnsi="Arial;sans-serif"/>
          <w:b w:val="false"/>
          <w:color w:val="000000"/>
          <w:sz w:val="20"/>
        </w:rPr>
        <w:t>Cross-border payments in excess of €50,000 must be reported monthly to the German Federal Bank (</w:t>
      </w:r>
      <w:r>
        <w:rPr>
          <w:rFonts w:ascii="Arial;sans-serif" w:hAnsi="Arial;sans-serif"/>
          <w:b w:val="false"/>
          <w:i/>
          <w:color w:val="000000"/>
          <w:sz w:val="20"/>
        </w:rPr>
        <w:t>Bundesbank</w:t>
      </w:r>
      <w:r>
        <w:rPr>
          <w:rFonts w:ascii="Arial;sans-serif" w:hAnsi="Arial;sans-serif"/>
          <w:b w:val="false"/>
          <w:color w:val="000000"/>
          <w:sz w:val="20"/>
        </w:rPr>
        <w:t>). If the Participant makes or receives a payment in excess of this amount (including if the Participant acquires shares of Common Stock with a value in excess of this amount or sells shares of Common Stock via a foreign broker, bank or service provider and receives proceeds in excess of this amount, and/or if the Corporation withholds or sells shares of Common Stock with a value in excess of this amount to cover Tax-Related Items), the Participant must report the payment and/or the value of the shares of Common Stock withheld or sold to Bundesbank electronically using the "General Statistics Reporting Portal" (“</w:t>
      </w:r>
      <w:r>
        <w:rPr>
          <w:rFonts w:ascii="Arial;sans-serif" w:hAnsi="Arial;sans-serif"/>
          <w:b w:val="false"/>
          <w:i/>
          <w:color w:val="000000"/>
          <w:sz w:val="20"/>
        </w:rPr>
        <w:t>Allgemeine Meldeportal Statistik</w:t>
      </w:r>
      <w:r>
        <w:rPr>
          <w:color w:val="000000"/>
        </w:rPr>
        <w:t>”</w:t>
      </w:r>
      <w:r>
        <w:rPr>
          <w:rFonts w:ascii="Arial;sans-serif" w:hAnsi="Arial;sans-serif"/>
          <w:b w:val="false"/>
          <w:color w:val="000000"/>
          <w:sz w:val="20"/>
        </w:rPr>
        <w:t>) available on the Bundesbank’s website (</w:t>
      </w:r>
      <w:r>
        <w:rPr>
          <w:rFonts w:ascii="Arial;sans-serif" w:hAnsi="Arial;sans-serif"/>
          <w:b w:val="false"/>
          <w:color w:val="0070C0"/>
          <w:sz w:val="20"/>
        </w:rPr>
        <w:t>www.bundesbank.de</w:t>
      </w:r>
      <w:r>
        <w:rPr>
          <w:rFonts w:ascii="Arial;sans-serif" w:hAnsi="Arial;sans-serif"/>
          <w:b w:val="false"/>
          <w:color w:val="000000"/>
          <w:sz w:val="20"/>
        </w:rPr>
        <w:t>) or via such other method (e.g., by email or telephone) as is permitted or required by Bundesbank. The report must be submitted monthly or within such other timing as permitted or required by Bundesbank.</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Participant’s acquisition of shares of Common Stock leads to a so-called qualified participation at any point during the calendar year, the Participant will need to report the acquisition when he or she files a tax return for the relevant year. A qualified participation occurs only if (i) the Participant owns 1% or more of the Corporation and the value of the shares of Common Stock exceeds €150,000 or (ii) the Participant holds shares of Common Stock exceeding 10% of the Corporation’s total Common Stock.</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GUATEMALA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Language Waiver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participating in the Plan, the Participant acknowledges that he or she is proficient in reading and understanding English and fully understands the terms of the Plan, or, alternatively, that the Participant will seek appropriate assistance to understand the terms and conditions in the Award Agreement and this Appendix 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HONDURAS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HONG KONG</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Warning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offer of this Award and the shares of Common Stock subject to this Award do not constitute a public offering of securities under Hong Kong law and are available only to employees of the Corporation or its Affiliates participating in the Plan. The Participant should be aware that the Plan, the Plan prospectus and the contents of this Award Agreement (i) have not been prepared in accordance with and are not intended to constitute a “prospectus” for a public offering of securities under the applicable securities legislation in Hong Kong, (ii) have not been reviewed by any regulatory authority in Hong Kong, and (iii) are intended only for the personal use of each Participant and may not be distributed to any other person. The Participant is advised to exercise caution in relation to the offer. If the Participant is in any doubt about any of the contents of the Award Agreement, including this Appendix A, or the Plan, the Participant should obtain independent professional advice.</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67665"/>
                <wp:effectExtent l="0" t="0" r="0" b="0"/>
                <wp:wrapNone/>
                <wp:docPr id="188" name="Frame1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39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 Payable Only in Shares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Awards granted to Participants in Hong Kong shall be paid in shares of Common Stock only and do not provide any right for the Participant to receive a cash payment.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Sale of Shares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event the Award vests within six months of the Grant Date, the Participant agrees that he or she will not offer to the public or otherwise dispose of the shares acquired prior to the six-month anniversary of the Grant Date. Any shares of Common Stock acquired under the Plan are accepted as a personal investment.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INDIA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India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INDONESIA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Language Consent and Notification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RSUs, the Participant (i) confirms having read and understood the documents relating to this Award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Persetujuan dan Pemberitahuan Bahasa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Dengan menerima pemberian Unit Saham Terbatas ini, Peserta (i) memberikan konfirmasi bahwa dirinya telah membaca dan memahami dokumen-dokumen berkaitan dengan pemberian ini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 (ketika diterbitkan).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general, no exchange control approvals are required in Indonesia. However, foreign exchange activity is subject to certain reporting requirements. For foreign currency transactions exceeding US$25,000, the underlying document of that transaction will have to be submitted to the relevant local bank. </w:t>
      </w:r>
    </w:p>
    <w:p>
      <w:pPr>
        <w:pStyle w:val="TextBody"/>
        <w:bidi w:val="0"/>
        <w:spacing w:lineRule="auto" w:line="288" w:before="0" w:after="240"/>
        <w:jc w:val="left"/>
        <w:rPr/>
      </w:pPr>
      <w:r>
        <w:rPr>
          <w:rFonts w:ascii="Arial;sans-serif" w:hAnsi="Arial;sans-serif"/>
          <w:b w:val="false"/>
          <w:color w:val="000000"/>
          <w:sz w:val="20"/>
        </w:rPr>
        <w:t>If there is a change of position of any foreign asset the Participant holds (including shares of Common Stock acquired under the Plan), the Participant must report this change in position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 xml:space="preserve">the sale of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67665"/>
                <wp:effectExtent l="0" t="0" r="0" b="0"/>
                <wp:wrapNone/>
                <wp:docPr id="189" name="Frame1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shares of Common Stock) to the Bank of Indonesia no later than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day of the month following the change in position. </w:t>
      </w:r>
    </w:p>
    <w:p>
      <w:pPr>
        <w:pStyle w:val="TextBody"/>
        <w:bidi w:val="0"/>
        <w:spacing w:lineRule="auto" w:line="288" w:before="0" w:after="240"/>
        <w:jc w:val="left"/>
        <w:rPr/>
      </w:pPr>
      <w:r>
        <w:rPr>
          <w:rFonts w:ascii="Arial;sans-serif" w:hAnsi="Arial;sans-serif"/>
          <w:b w:val="false"/>
          <w:color w:val="000000"/>
          <w:sz w:val="20"/>
        </w:rPr>
        <w:t>If the Participant repatriates funds (</w:t>
      </w:r>
      <w:r>
        <w:rPr>
          <w:rFonts w:ascii="Arial;sans-serif" w:hAnsi="Arial;sans-serif"/>
          <w:b w:val="false"/>
          <w:i/>
          <w:color w:val="000000"/>
          <w:sz w:val="20"/>
        </w:rPr>
        <w:t>e.g.,</w:t>
      </w:r>
      <w:r>
        <w:rPr>
          <w:color w:val="000000"/>
        </w:rPr>
        <w:t xml:space="preserve"> </w:t>
      </w:r>
      <w:r>
        <w:rPr>
          <w:rFonts w:ascii="Arial;sans-serif" w:hAnsi="Arial;sans-serif"/>
          <w:b w:val="false"/>
          <w:color w:val="000000"/>
          <w:sz w:val="20"/>
        </w:rPr>
        <w:t>proceeds form the sale of shares of Common Stock) into Indonesia, the Indonesian bank through which the transaction is made will submit a report of the transaction to the Bank of Indonesia. For transactions of US$10,000 or more (or its equivalent in local currency), a more details description of the transaction must be included in the report and the Participant may be required to provide information about the transaction to the bank in order to complete the transaction.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ISRAEL</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offer of this Award does not constitute a public offering under Securities Law, 1968.</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Broker Designation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Shares of Common Stock issued to the Participant under the Plan must be maintained in an account with Merrill Lynch or such other broker as may be designated by the Corporation until the shares of Common Stock are sold through that broker.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Restricted from Online Brokerage Transactions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and agrees that he or she will be restricted from online brokerage account transactions the Corporation’s designated broker. Therefore, by accepting the Awards, the Participant understands and agrees that the Participant will call the Corporation’s designated broker to initiate any sale or transfer of any shares of Common Stock issued to him or her upon vesting of the Awards. The Participant acknowledges that the Corporation’s designated broker is under no obligation to arrange for the sale of the shares of Common Stock at any particular price.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ITALY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Plan Document Acknowledgment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accepting the grant of this Award, the Participant acknowledges that he or she has received a copy of the Plan and the Award Agreement and has reviewed the Plan and the Award Agreement, including this Appendix A, in their entirety and fully understands and accepts all provisions of the Plan and the Award Agreement, including this Appendix A.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that he or she has read and specifically and expressly approves the following sections of the Award Agreement: Section 2(g) on Payment of Tax-Related Items; Section 5 on No Right of Continued Employment; Section 8 on Governing Law and Consent to Jurisdiction; the section on Acknowledgment of Conditions; and the Data Privacy Notice section included in this Appendix 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67665"/>
                <wp:effectExtent l="0" t="0" r="0" b="0"/>
                <wp:wrapNone/>
                <wp:docPr id="190" name="Frame1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 Tax Information</w:t>
      </w:r>
    </w:p>
    <w:p>
      <w:pPr>
        <w:pStyle w:val="TextBody"/>
        <w:bidi w:val="0"/>
        <w:spacing w:lineRule="auto" w:line="288" w:before="0" w:after="240"/>
        <w:jc w:val="left"/>
        <w:rPr/>
      </w:pPr>
      <w:r>
        <w:rPr>
          <w:rFonts w:ascii="Arial;sans-serif" w:hAnsi="Arial;sans-serif"/>
          <w:b w:val="false"/>
          <w:color w:val="000000"/>
          <w:sz w:val="20"/>
        </w:rPr>
        <w:t>The value of financial assets held outside of Italy (including shares of Common Stock) by Italian residents is subject to a foreign asset tax. The taxable amount will be the fair market value of the financial assets (</w:t>
      </w:r>
      <w:r>
        <w:rPr>
          <w:rFonts w:ascii="Arial;sans-serif" w:hAnsi="Arial;sans-serif"/>
          <w:b w:val="false"/>
          <w:i/>
          <w:color w:val="000000"/>
          <w:sz w:val="20"/>
        </w:rPr>
        <w:t>e.g.</w:t>
      </w:r>
      <w:r>
        <w:rPr>
          <w:rFonts w:ascii="Arial;sans-serif" w:hAnsi="Arial;sans-serif"/>
          <w:b w:val="false"/>
          <w:color w:val="000000"/>
          <w:sz w:val="20"/>
        </w:rPr>
        <w:t>, shares of Common Stock acquired under the Plan) assessed at the end of the calendar year.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KAZAKHSTAN</w:t>
      </w:r>
    </w:p>
    <w:p>
      <w:pPr>
        <w:pStyle w:val="TextBody"/>
        <w:bidi w:val="0"/>
        <w:spacing w:lineRule="auto" w:line="288" w:before="0" w:after="240"/>
        <w:jc w:val="left"/>
        <w:rPr/>
      </w:pPr>
      <w:r>
        <w:rPr>
          <w:rFonts w:ascii="Arial;sans-serif" w:hAnsi="Arial;sans-serif"/>
          <w:b w:val="false"/>
          <w:i/>
          <w:color w:val="000000"/>
          <w:sz w:val="20"/>
        </w:rPr>
        <w:t>Securities Law Notification</w:t>
      </w:r>
      <w:r>
        <w:rPr>
          <w:color w:val="000000"/>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offer is addressed only to certain eligible employees in the form of the shares of Common Stock to be issued by the Corporation. Neither the Plan nor the Award Agreement has been approved, nor do they need to be approved, by the National Bank of Kazakhstan. This offer is intended only for the original recipient and is not for general circulation in the Republic of Kazakhstan.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Residents of Kazakhstan may be required to notify the National Bank of Kazakhstan when they acquire shares of Common Stock under the Plan if the value of such shares of Common Stock exceeds US$100,000.</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Please note that the exchange control regulations in Kazakhstan are subject to change. The Participant should consult with his or her personal legal advisor regarding any exchange control obligations that the Participant may have prior to vesting or receiving proceeds from the sale of shares of Common Stock acquired under the Plan. The Participant is responsible for ensuring compliance with all exchange control laws in Kazakhstan.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KENYA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Registration Notification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Under Tax Procedure Act, 2015, the Participant is required to complete and submit a tax registration application to the Commissioner of Income Tax with 30 days of first vesting of the RSUs. The registration should be completed through the online portal “I TAX” and is a one-time only registration. The Participant is solely responsible for ensuring compliance with all registration requirements in Kenya.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KOREA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Korea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67665"/>
                <wp:effectExtent l="0" t="0" r="0" b="0"/>
                <wp:wrapNone/>
                <wp:docPr id="191" name="Frame1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MALAYSIA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Director Notification Obligation </w:t>
      </w:r>
    </w:p>
    <w:p>
      <w:pPr>
        <w:pStyle w:val="TextBody"/>
        <w:bidi w:val="0"/>
        <w:spacing w:lineRule="auto" w:line="288" w:before="0" w:after="240"/>
        <w:jc w:val="left"/>
        <w:rPr/>
      </w:pPr>
      <w:r>
        <w:rPr>
          <w:rFonts w:ascii="Arial;sans-serif" w:hAnsi="Arial;sans-serif"/>
          <w:b w:val="false"/>
          <w:color w:val="000000"/>
          <w:sz w:val="20"/>
        </w:rPr>
        <w:t>If the Participant is a director of the Corporation’s Malaysian Affiliate, the Participant is subject to certain notification requirements under the Malaysian Companies Act. Among these requirements is an obligation to notify the Malaysian Affiliate in writing when the Participant receives or disposes of an interest (</w:t>
      </w:r>
      <w:r>
        <w:rPr>
          <w:rFonts w:ascii="Arial;sans-serif" w:hAnsi="Arial;sans-serif"/>
          <w:b w:val="false"/>
          <w:i/>
          <w:color w:val="000000"/>
          <w:sz w:val="20"/>
        </w:rPr>
        <w:t>e.g.</w:t>
      </w:r>
      <w:r>
        <w:rPr>
          <w:rFonts w:ascii="Arial;sans-serif" w:hAnsi="Arial;sans-serif"/>
          <w:b w:val="false"/>
          <w:color w:val="000000"/>
          <w:sz w:val="20"/>
        </w:rPr>
        <w:t>, an Award or shares) in the Corporation or any related company. Such notifications must be made within 14 days of receiving or disposing of any interest in the Corporation or any related company.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MEXICO</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Modification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understands and agrees that any modification of the Plan or the Award Agreement or its termination shall not constitute a change or impairment of the terms and conditions of employment.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Acknowledgment of the Grant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accepting the Award, the Participant acknowledges that the Participant has received a copy of the Plan and the Award Agreement, including this Appendix A, has reviewed the Plan and the Award Agreement, including this Appendix A, in their entirety and fully understands and accepts all provisions of the Plan and the Award Agreement, including this Appendix A. The Participant further acknowledges that the Participant has read and specifically and expressly approves the Acknowledgment of Conditions section of the Award Agreement, in which the following is clearly described and established:</w:t>
      </w:r>
    </w:p>
    <w:p>
      <w:pPr>
        <w:pStyle w:val="TextBody"/>
        <w:bidi w:val="0"/>
        <w:spacing w:lineRule="auto" w:line="288" w:before="0" w:after="120"/>
        <w:ind w:left="0" w:right="0" w:hanging="547"/>
        <w:jc w:val="left"/>
        <w:rPr>
          <w:rFonts w:ascii="Arial;sans-serif" w:hAnsi="Arial;sans-serif"/>
          <w:b w:val="false"/>
          <w:color w:val="000000"/>
          <w:sz w:val="20"/>
        </w:rPr>
      </w:pPr>
      <w:r>
        <w:rPr>
          <w:rFonts w:ascii="Arial;sans-serif" w:hAnsi="Arial;sans-serif"/>
          <w:b w:val="false"/>
          <w:color w:val="000000"/>
          <w:sz w:val="20"/>
        </w:rPr>
        <w:t>(1)    The Participant’s participation in the Plan does not constitute an acquired right.</w:t>
      </w:r>
    </w:p>
    <w:p>
      <w:pPr>
        <w:pStyle w:val="TextBody"/>
        <w:bidi w:val="0"/>
        <w:spacing w:lineRule="auto" w:line="288" w:before="0" w:after="120"/>
        <w:ind w:left="0" w:right="0" w:hanging="547"/>
        <w:jc w:val="left"/>
        <w:rPr>
          <w:rFonts w:ascii="Arial;sans-serif" w:hAnsi="Arial;sans-serif"/>
          <w:b w:val="false"/>
          <w:color w:val="000000"/>
          <w:sz w:val="20"/>
        </w:rPr>
      </w:pPr>
      <w:r>
        <w:rPr>
          <w:rFonts w:ascii="Arial;sans-serif" w:hAnsi="Arial;sans-serif"/>
          <w:b w:val="false"/>
          <w:color w:val="000000"/>
          <w:sz w:val="20"/>
        </w:rPr>
        <w:t>(2)    The Plan and the Participant’s participation in the Plan are offered by the Corporation on a wholly discretionary basis.</w:t>
      </w:r>
    </w:p>
    <w:p>
      <w:pPr>
        <w:pStyle w:val="TextBody"/>
        <w:bidi w:val="0"/>
        <w:spacing w:lineRule="auto" w:line="288" w:before="0" w:after="120"/>
        <w:ind w:left="0" w:right="0" w:hanging="547"/>
        <w:jc w:val="left"/>
        <w:rPr>
          <w:rFonts w:ascii="Arial;sans-serif" w:hAnsi="Arial;sans-serif"/>
          <w:b w:val="false"/>
          <w:color w:val="000000"/>
          <w:sz w:val="20"/>
        </w:rPr>
      </w:pPr>
      <w:r>
        <w:rPr>
          <w:rFonts w:ascii="Arial;sans-serif" w:hAnsi="Arial;sans-serif"/>
          <w:b w:val="false"/>
          <w:color w:val="000000"/>
          <w:sz w:val="20"/>
        </w:rPr>
        <w:t>(3)    The Participant’s participation in the Plan is voluntary.</w:t>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(4)    Neither the Corporation nor any Affiliates are responsible for any decrease in the value of the Award granted and/or shares of Common Stock issued under the Plan.</w:t>
      </w:r>
    </w:p>
    <w:p>
      <w:pPr>
        <w:pStyle w:val="TextBody"/>
        <w:bidi w:val="0"/>
        <w:spacing w:before="0" w:after="0"/>
        <w:ind w:left="0" w:right="0" w:hanging="54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Acknowledgment and Policy Statement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accepting the grant of this Award, the Participant expressly recognizes that the Corporation, with registered offices at 351 Phelps Drive, Irving, Texas 75038, U.S.A., is solely responsible for the administration of the Plan and that the Participant’s participation in the Plan and acquisition of shares of Common Stock do not constitute an employment relationship between the Participant and the Corporation since the Participant is participating in the Plan on a wholly commercial basis and his or her sole Employer is K-C AFC Manufacturing S. de R.L. de C.V. (“KCC-Mexico”). Based on the foregoing, the Participant expressly recognizes that the Plan and the benefits that he or she may derive from participating in the Plan do not establish any rights between the Participant and the Employer, KCC-Mexico and do not form part of the employment conditions and/or benefits provided by KCC-Mexico, and any modification of the Plan or its termination shall not constitute a change or impairment of the terms and conditions of the Participant’s employment.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further understands that his or her participation in the Plan is as a result of a unilateral and discretionary decision of the Corporation; therefore, the Corporation reserves the absolute right to amend and/or discontinue the Participant’s participation at any time without any liability to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67665"/>
                <wp:effectExtent l="0" t="0" r="0" b="0"/>
                <wp:wrapNone/>
                <wp:docPr id="192" name="Frame1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43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Finally, the Participant hereby declares that he or she does not reserve to him- or herself any action or right to bring any claim against the Corporation for any compensation or damages regarding any provision of the Plan or the benefits derived under the Plan, and the Participant therefore grants a full and broad release to the Corporation, its Affiliates, branches, representation offices, its shareholders, officers, agents, or legal representatives with respect to any claim that may arise.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Spanish Translation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Modificación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 aceptar el Premio, el Participante entiende y acuerda que cualquier modificación al Plan o al Acuerdo o su terminación, no cambiará o disminuirá los términos y condiciones de empleo.</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Reconocimiento del Otorgamiento</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Al aceptar el Premio, el Participante está de acuerdo en haber recibido una copia del Plan, del Acuerdo incluyendo el presente Anexo “A” y ha revisado el Plan y el Acuerdo, incluyendo este Anexo “A” en su totalidad y comprende y acepta todas las disposiciones previstas en el Plan, en el Acuerdo, incluyendo el presente Anexo “A”. Asimismo, el Participante reconoce que ha leído y manifiesta su específica y expresa conformidad con los términos y condiciones establecidos del Acuerdo, en el cual claramente se describe y establece lo siguiente:</w:t>
      </w:r>
    </w:p>
    <w:p>
      <w:pPr>
        <w:pStyle w:val="TextBody"/>
        <w:bidi w:val="0"/>
        <w:spacing w:before="0" w:after="0"/>
        <w:jc w:val="left"/>
        <w:rPr/>
      </w:pPr>
      <w:r>
        <w:rPr/>
      </w:r>
    </w:p>
    <w:p>
      <w:pPr>
        <w:pStyle w:val="TextBody"/>
        <w:bidi w:val="0"/>
        <w:spacing w:lineRule="auto" w:line="288" w:before="0" w:after="120"/>
        <w:ind w:left="0" w:right="0" w:hanging="547"/>
        <w:jc w:val="left"/>
        <w:rPr>
          <w:rFonts w:ascii="Arial;sans-serif" w:hAnsi="Arial;sans-serif"/>
          <w:b w:val="false"/>
          <w:i/>
          <w:color w:val="000000"/>
          <w:sz w:val="20"/>
        </w:rPr>
      </w:pPr>
      <w:r>
        <w:rPr>
          <w:rFonts w:ascii="Arial;sans-serif" w:hAnsi="Arial;sans-serif"/>
          <w:b w:val="false"/>
          <w:i/>
          <w:color w:val="000000"/>
          <w:sz w:val="20"/>
        </w:rPr>
        <w:t>(1)    La participación del Participante en el Plan no constituye un derecho adquirido.</w:t>
      </w:r>
    </w:p>
    <w:p>
      <w:pPr>
        <w:pStyle w:val="TextBody"/>
        <w:bidi w:val="0"/>
        <w:spacing w:lineRule="auto" w:line="288" w:before="0" w:after="120"/>
        <w:ind w:left="0" w:right="0" w:hanging="547"/>
        <w:jc w:val="left"/>
        <w:rPr>
          <w:rFonts w:ascii="Arial;sans-serif" w:hAnsi="Arial;sans-serif"/>
          <w:b w:val="false"/>
          <w:i/>
          <w:color w:val="000000"/>
          <w:sz w:val="20"/>
        </w:rPr>
      </w:pPr>
      <w:r>
        <w:rPr>
          <w:rFonts w:ascii="Arial;sans-serif" w:hAnsi="Arial;sans-serif"/>
          <w:b w:val="false"/>
          <w:i/>
          <w:color w:val="000000"/>
          <w:sz w:val="20"/>
        </w:rPr>
        <w:t>(2)    El Plan y la participación del Participante en el Plan se ofrecen por la Compañía de forma completamente discrecional.</w:t>
      </w:r>
    </w:p>
    <w:p>
      <w:pPr>
        <w:pStyle w:val="TextBody"/>
        <w:bidi w:val="0"/>
        <w:spacing w:lineRule="auto" w:line="288" w:before="0" w:after="120"/>
        <w:ind w:left="0" w:right="0" w:hanging="547"/>
        <w:jc w:val="left"/>
        <w:rPr>
          <w:rFonts w:ascii="Arial;sans-serif" w:hAnsi="Arial;sans-serif"/>
          <w:b w:val="false"/>
          <w:i/>
          <w:color w:val="000000"/>
          <w:sz w:val="20"/>
        </w:rPr>
      </w:pPr>
      <w:r>
        <w:rPr>
          <w:rFonts w:ascii="Arial;sans-serif" w:hAnsi="Arial;sans-serif"/>
          <w:b w:val="false"/>
          <w:i/>
          <w:color w:val="000000"/>
          <w:sz w:val="20"/>
        </w:rPr>
        <w:t>(3)    La participación del Participante en el Plan es voluntaria.</w:t>
      </w:r>
    </w:p>
    <w:p>
      <w:pPr>
        <w:pStyle w:val="TextBody"/>
        <w:bidi w:val="0"/>
        <w:spacing w:lineRule="auto" w:line="288" w:before="0" w:after="0"/>
        <w:ind w:left="0" w:right="0" w:hanging="540"/>
        <w:jc w:val="left"/>
        <w:rPr>
          <w:rFonts w:ascii="Arial;sans-serif" w:hAnsi="Arial;sans-serif"/>
          <w:b w:val="false"/>
          <w:i/>
          <w:color w:val="000000"/>
          <w:sz w:val="20"/>
        </w:rPr>
      </w:pPr>
      <w:r>
        <w:rPr>
          <w:rFonts w:ascii="Arial;sans-serif" w:hAnsi="Arial;sans-serif"/>
          <w:b w:val="false"/>
          <w:i/>
          <w:color w:val="000000"/>
          <w:sz w:val="20"/>
        </w:rPr>
        <w:t>(4)    Ni la Compañía ni sus Afiliadas son responsables por la reducción del valor del Premio y/o Acciones Ordinarias emitidas bajo el Plan.</w:t>
      </w:r>
    </w:p>
    <w:p>
      <w:pPr>
        <w:pStyle w:val="TextBody"/>
        <w:bidi w:val="0"/>
        <w:spacing w:before="0" w:after="0"/>
        <w:ind w:left="0" w:right="0" w:hanging="54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Reconocimiento de la Legislación Laboral y Declaración de la Política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 aceptar el otorgamiento de este Premio, el Participante expresamente reconoce que Kimberly-Clark Corporación con oficinas registradas en 351 Phelps Drive, Irving, Texas 75038, EE.UU., es la única responsable por la administración del Plan y que la participación del Participante en el Plan y en su caso la adquisición de las Opciones de Compra de Acciones o Acciones no constituyen ni podrán interpretarse como una relación de trabajo entre el Participante y Kimberly-Clark Corporación, ya que el Participante participa en el Plan en un marco totalmente comercial y su único Patrón lo es K-C AFC Manufacturing S. de R.L. de C.V. (“KCC-Mexico”). Derivado de lo anterior, el Participante expresamente reconoce que el Plan y los beneficios que pudieran derivar de la participación en el Plan no establecen derecho alguno entre el Participante y el Patrón, KCC-Mexico y no forma parte de las condiciones de trabajo y/o las prestaciones otorgadas por KCC-Mexico y que cualquier modificación al Plan o su terminación no constituye un cambio o impedimento de los términos y condiciones de la relación de trabajo del Participante.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Asimismo, el Participante reconoce que su participación en el Plan es resultado de una decisión unilateral y discrecional de Kimberly-Clark Corporación por lo tanto, Kimberly-Clark Corporación se reserva el absoluto derecho de modificar y/o terminar la participación del Participante en cualquier momento y sin responsabilidad alguna frente el Participante.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Finalmente, el Participante por este medio declara que no se reserva derecho o acción alguna que ejercitar en contra de Kimberly-Clark Corporación por cualquier compensación o daño en relación con las disposiciones del Plan o de los beneficios derivados del Plan y por lo tanto, el Participante otorga el más amplio finiquito que en derecho proceda a Kimberly-Clark Corporación, sus afiliadas, subsidiarias,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67665"/>
                <wp:effectExtent l="0" t="0" r="0" b="0"/>
                <wp:wrapNone/>
                <wp:docPr id="193" name="Frame1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oficinas de representación, sus accionistas, funcionarios, agentes o representantes legales en relación con cualquier demanda que pudiera surgir.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Notification</w:t>
      </w:r>
    </w:p>
    <w:p>
      <w:pPr>
        <w:pStyle w:val="TextBody"/>
        <w:bidi w:val="0"/>
        <w:spacing w:lineRule="auto" w:line="288" w:before="0" w:after="240"/>
        <w:jc w:val="left"/>
        <w:rPr/>
      </w:pPr>
      <w:r>
        <w:rPr>
          <w:rFonts w:ascii="Arial;sans-serif" w:hAnsi="Arial;sans-serif"/>
          <w:b w:val="false"/>
          <w:color w:val="000000"/>
          <w:sz w:val="20"/>
        </w:rPr>
        <w:t>The RSUs and the shares of Common Stock offered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the Participant only because of their existing relationship with the Corporation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Mexican subsidiary of the Corporation made in accordance with the provisions of the Mexican Securities Market Law, and any rights under such offering shall not be assigned or transferred</w:t>
      </w:r>
      <w:r>
        <w:rPr>
          <w:rFonts w:ascii="Arial;sans-serif" w:hAnsi="Arial;sans-serif"/>
          <w:b w:val="false"/>
          <w:i/>
          <w:color w:val="000000"/>
          <w:sz w:val="20"/>
        </w:rPr>
        <w: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NETHERLANDS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NEW ZEALAND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is being offered RSUs which, if vested, will entitle the Participant to acquire shares of Common Stock in accordance with the terms of the Award Agreement and the Plan. The shares of Common Stock, if issued, will give the Participant a stake in the ownership of the Corporation. The Participant may receive a return if dividends are paid.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Corporation runs into financial difficulties and is wound up, the Participant will be paid only after all creditors and holders of preferred shares (if any) have been paid. The Participant may lose some or all of the Participant’s investment, if any.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the Participant may not be given all the information usually required. The Participant will also have fewer other legal protections for this investment. The Participant is advised to ask questions, read all documents carefully, and seek independent financial advice before committing.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shares of Common Stock are quoted on the National Association of Securities Dealers Automated Quotations (“NASDAQ”). This means that if the Participant acquires shares of Common Stock under the Plan, the Participant may be able to sell the shares of Common Stock on the NASDAQ if there are interested buyers. The Participant may get less than the Participant invested. The price will depend on the demand for the shares of Common Stock.</w:t>
      </w:r>
    </w:p>
    <w:p>
      <w:pPr>
        <w:pStyle w:val="TextBody"/>
        <w:bidi w:val="0"/>
        <w:spacing w:lineRule="auto" w:line="288" w:before="0" w:after="240"/>
        <w:jc w:val="left"/>
        <w:rPr/>
      </w:pPr>
      <w:r>
        <w:rPr>
          <w:rFonts w:ascii="Arial;sans-serif" w:hAnsi="Arial;sans-serif"/>
          <w:b w:val="false"/>
          <w:color w:val="000000"/>
          <w:sz w:val="20"/>
        </w:rPr>
        <w:t xml:space="preserve">For a copy of the Corporation’s most recent financial statements (and, where applicable, a copy of the auditor’s report on those financial statements), as well as information on risk factors impacting the Corporation’s business that may affect the value of the shares of Common Stock, the Participant should refer to the risk factors discussion on the Corporation’s Annual Report on Form 10-K and Quarterly Reports on Form 10-Q, which are filed with the U.S. Securities and Exchange Commission and are available online at </w:t>
      </w:r>
      <w:r>
        <w:rPr>
          <w:rFonts w:ascii="Arial;sans-serif" w:hAnsi="Arial;sans-serif"/>
          <w:b w:val="false"/>
          <w:color w:val="0070C0"/>
          <w:sz w:val="20"/>
        </w:rPr>
        <w:t>www.sec.gov</w:t>
      </w:r>
      <w:r>
        <w:rPr>
          <w:color w:val="000000"/>
        </w:rPr>
        <w:t xml:space="preserve"> </w:t>
      </w:r>
      <w:r>
        <w:rPr>
          <w:rFonts w:ascii="Arial;sans-serif" w:hAnsi="Arial;sans-serif"/>
          <w:b w:val="false"/>
          <w:color w:val="000000"/>
          <w:sz w:val="20"/>
        </w:rPr>
        <w:t xml:space="preserve">as well as on the Corporation’s “Investor Relations” website at </w:t>
      </w:r>
      <w:r>
        <w:rPr>
          <w:rFonts w:ascii="Arial;sans-serif" w:hAnsi="Arial;sans-serif"/>
          <w:b w:val="false"/>
          <w:color w:val="0070C0"/>
          <w:sz w:val="20"/>
        </w:rPr>
        <w:t>https://investor.kimberly-clark.com</w:t>
      </w:r>
      <w:r>
        <w:rPr>
          <w:rFonts w:ascii="Arial;sans-serif" w:hAnsi="Arial;sans-serif"/>
          <w:b w:val="false"/>
          <w:color w:val="1F4E79"/>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67665"/>
                <wp:effectExtent l="0" t="0" r="0" b="0"/>
                <wp:wrapNone/>
                <wp:docPr id="194" name="Frame1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NIGERIA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PANAMA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Neither this Award nor any shares of Common Stock that the Participant may acquire at vesting of this Award constitute a public offering of securities, as they are available only to eligible employees of the Corporation and its Affiliates.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PARAGUAY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country-specific provisions.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PERU</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pPr>
      <w:r>
        <w:rPr>
          <w:rFonts w:ascii="Arial;sans-serif" w:hAnsi="Arial;sans-serif"/>
          <w:b w:val="false"/>
          <w:color w:val="000000"/>
          <w:sz w:val="20"/>
        </w:rPr>
        <w:t xml:space="preserve">The offer of this Award is considered a private offering in Peru; therefore, it is not subject to registration in Peru. For more information concerning the offer, please refer to the Plan, the Award Agreement and any other materials or documentation made available by the Corporation. For more information regarding the Corporation, please refer to the Corporation’s Annual Report on Form 10-K and Quarterly Reports on Form 10-Q, which are filed with the U.S. Securities and Exchange Commission and are available at </w:t>
      </w:r>
      <w:r>
        <w:rPr>
          <w:rFonts w:ascii="Arial;sans-serif" w:hAnsi="Arial;sans-serif"/>
          <w:b w:val="false"/>
          <w:color w:val="0070C0"/>
          <w:sz w:val="20"/>
        </w:rPr>
        <w:t>www.sec.gov</w:t>
      </w:r>
      <w:r>
        <w:rPr>
          <w:rFonts w:ascii="Arial;sans-serif" w:hAnsi="Arial;sans-serif"/>
          <w:b w:val="false"/>
          <w:color w:val="000000"/>
          <w:sz w:val="20"/>
        </w:rPr>
        <w:t xml:space="preserve">, as well as the Corporation’s “Investor Relations” website at: </w:t>
      </w:r>
      <w:r>
        <w:rPr>
          <w:rFonts w:ascii="Arial;sans-serif" w:hAnsi="Arial;sans-serif"/>
          <w:b w:val="false"/>
          <w:color w:val="0070C0"/>
          <w:sz w:val="20"/>
        </w:rPr>
        <w:t>https://investor.kimberly-clark.com</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pPr>
      <w:r>
        <w:rPr>
          <w:rFonts w:ascii="Arial;sans-serif" w:hAnsi="Arial;sans-serif"/>
          <w:b w:val="false"/>
          <w:color w:val="000000"/>
          <w:sz w:val="20"/>
        </w:rPr>
        <w:t xml:space="preserve">By accepting the Award, the Participant acknowledges that the RSUs are being granted </w:t>
      </w:r>
      <w:r>
        <w:rPr>
          <w:rFonts w:ascii="Arial;sans-serif" w:hAnsi="Arial;sans-serif"/>
          <w:b w:val="false"/>
          <w:i/>
          <w:color w:val="000000"/>
          <w:sz w:val="20"/>
        </w:rPr>
        <w:t>ex gratia</w:t>
      </w:r>
      <w:r>
        <w:rPr>
          <w:color w:val="000000"/>
        </w:rPr>
        <w:t xml:space="preserve"> </w:t>
      </w:r>
      <w:r>
        <w:rPr>
          <w:rFonts w:ascii="Arial;sans-serif" w:hAnsi="Arial;sans-serif"/>
          <w:b w:val="false"/>
          <w:color w:val="000000"/>
          <w:sz w:val="20"/>
        </w:rPr>
        <w:t xml:space="preserve">to the Participant.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PHILIPPINES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the Philippines do not provide any right for the Participant to receive shares of Common Stock and shall be paid only in cash in an amount equal to the value of the shares of Common Stock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Fringe Benefit Tax Obligation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By accepting the Award, the Participant consents and agrees to assume any and all liability for fringe benefit tax that may be payable by the Corporation and/or the Employer (as determined by the Corporation or the Employer in their discretion) in connection with the Award and any awards previously granted by the Corporation. Further, by accepting the Award, the Participant agrees that the Corporation and/or the Employer may collect the fringe benefit tax from the Participant by any of the means set forth in the Acknowledgment of Conditions section of the Award Agreement,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67665"/>
                <wp:effectExtent l="0" t="0" r="0" b="0"/>
                <wp:wrapNone/>
                <wp:docPr id="195" name="Frame1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46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reasonable method established by the Corporation. The Participant agrees to execute other consents or elections to accomplish the foregoing, promptly upon request by the Corporation or the Employer.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POLAND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Polish residents holding foreign securities (e.g., shares of Common Stock) and/or maintaining accounts abroad must report information to the National Bank of Poland on transactions and balances regarding such securities and cash deposited in such accounts if the value of such securities and cash (when combined with all other assets possessed abroad) exceeds certain thresholds. If required, the reports must be filed on a quarterly basis on special forms that are available on the website of the National Bank of Poland. Polish residents should consult with their personal tax advisor to determine their personal reporting obligations.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Transfers of funds into and out of Poland in excess of €15,000 (or PLN 15,000 if such transfer of funds is connected with business activity of an entrepreneur) must be made via a bank account held at a bank in Poland. Additionally, Polish residents are required to store all documents connected with any foreign exchange transactions that Polish residents are engaged in for a period of five years, as measured from the end of the year in which such transaction occurred.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PUERTO RICO</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RUSSIA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Russia do not provide any right for the Participant to receive shares of Common Stock and shall be paid only in cash through local payroll in an amount equal to the value of the shares of Common Stock at vesting less any Tax-Related Items. The Participant agrees to bear any currency fluctuation risk between the time the Awards vest and the time the cash payment is distributed to the Participant.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SAUDI ARABIA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Securities Law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This document may not be distributed in the Kingdom except to such persons as are permitted under the Rules on the Offer of Securities and Continuing Obligations issued by the Capital Market Authority.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the Participant should consult an authorized financial adviser.</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67665"/>
                <wp:effectExtent l="0" t="0" r="0" b="0"/>
                <wp:wrapNone/>
                <wp:docPr id="196" name="Frame1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47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47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SINGAPORE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Sale Restriction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agrees that any shares of Common Stock acquired pursuant to the RSUs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other applicable provisions of the SFA.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grant of the RSUs is being made pursuant to the “Qualifying Person” exemption” under section 273(1)(f) of the SFA under which it is exempt from the prospectus and registration requirements and is not made with a view to the underlying shares of Common Stock being subsequently offered for sale to any other party. The Plan has not been and will not be lodged or registered as a prospectus with the Monetary Authority of Singapore.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Director Notification Obligation</w:t>
      </w:r>
    </w:p>
    <w:p>
      <w:pPr>
        <w:pStyle w:val="TextBody"/>
        <w:bidi w:val="0"/>
        <w:spacing w:lineRule="auto" w:line="288" w:before="0" w:after="240"/>
        <w:jc w:val="left"/>
        <w:rPr/>
      </w:pPr>
      <w:r>
        <w:rPr>
          <w:rFonts w:ascii="Arial;sans-serif" w:hAnsi="Arial;sans-serif"/>
          <w:b w:val="false"/>
          <w:color w:val="000000"/>
          <w:sz w:val="20"/>
        </w:rPr>
        <w:t>If the Participant is a director, associate director or shadow director of the Corporation’s Singapore Affiliate, the Participant is subject to certain notification requirements under the Singapore Companies Act (Cap. 50, Rev Ed 2006). Among these requirements is an obligation to notify the Corporation’s Singapore Affiliate in writing when the Participant receives an interest (</w:t>
      </w:r>
      <w:r>
        <w:rPr>
          <w:rFonts w:ascii="Arial;sans-serif" w:hAnsi="Arial;sans-serif"/>
          <w:b w:val="false"/>
          <w:i/>
          <w:color w:val="000000"/>
          <w:sz w:val="20"/>
        </w:rPr>
        <w:t>e.g.</w:t>
      </w:r>
      <w:r>
        <w:rPr>
          <w:rFonts w:ascii="Arial;sans-serif" w:hAnsi="Arial;sans-serif"/>
          <w:b w:val="false"/>
          <w:color w:val="000000"/>
          <w:sz w:val="20"/>
        </w:rPr>
        <w:t>, an Award or shares) in the Corporation or any Affiliate. In addition, the Participant must notify the Corporation’s Singapore Affiliate when he or she sells shares of the Corporation or of any Affiliate (including when the Participant sells shares issued upon vesting and settlement of the Award). These notifications must be made within two business</w:t>
      </w:r>
      <w:r>
        <w:rPr>
          <w:color w:val="000000"/>
          <w:u w:val="single"/>
        </w:rPr>
        <w:t xml:space="preserve"> </w:t>
      </w:r>
      <w:r>
        <w:rPr>
          <w:rFonts w:ascii="Arial;sans-serif" w:hAnsi="Arial;sans-serif"/>
          <w:b w:val="false"/>
          <w:color w:val="000000"/>
          <w:sz w:val="20"/>
        </w:rPr>
        <w:t>days of (i) acquiring or disposing of any interest in the Corporation or any Affiliate, or (ii) any change in a previously-disclosed interest (</w:t>
      </w:r>
      <w:r>
        <w:rPr>
          <w:rFonts w:ascii="Arial;sans-serif" w:hAnsi="Arial;sans-serif"/>
          <w:b w:val="false"/>
          <w:i/>
          <w:color w:val="000000"/>
          <w:sz w:val="20"/>
        </w:rPr>
        <w:t>e.g.</w:t>
      </w:r>
      <w:r>
        <w:rPr>
          <w:rFonts w:ascii="Arial;sans-serif" w:hAnsi="Arial;sans-serif"/>
          <w:b w:val="false"/>
          <w:color w:val="000000"/>
          <w:sz w:val="20"/>
        </w:rPr>
        <w:t>, upon vesting of the Award or when shares of Common Stock acquired under the Plan are subsequently sold). In addition, a notification of the Participant’s interests in the Corporation or any Affiliate must be made within two business</w:t>
      </w:r>
      <w:r>
        <w:rPr>
          <w:color w:val="000000"/>
          <w:u w:val="single"/>
        </w:rPr>
        <w:t xml:space="preserve"> </w:t>
      </w:r>
      <w:r>
        <w:rPr>
          <w:rFonts w:ascii="Arial;sans-serif" w:hAnsi="Arial;sans-serif"/>
          <w:b w:val="false"/>
          <w:color w:val="000000"/>
          <w:sz w:val="20"/>
        </w:rPr>
        <w:t>days of becoming a director, associate director or shadow director.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SLOVAK REPUBLIC</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 xml:space="preserve">If the Participant permanently resides in the Slovak Republic and, apart from being employed, carries on business activities as an independent entrepreneur (in Slovakian, </w:t>
      </w:r>
      <w:r>
        <w:rPr>
          <w:rFonts w:ascii="Arial;sans-serif" w:hAnsi="Arial;sans-serif"/>
          <w:b w:val="false"/>
          <w:i/>
          <w:color w:val="000000"/>
          <w:sz w:val="20"/>
        </w:rPr>
        <w:t>podnikatel</w:t>
      </w:r>
      <w:r>
        <w:rPr>
          <w:rFonts w:ascii="Arial;sans-serif" w:hAnsi="Arial;sans-serif"/>
          <w:b w:val="false"/>
          <w:color w:val="000000"/>
          <w:sz w:val="20"/>
        </w:rPr>
        <w:t>), the Participant will be obligated to report his or her foreign assets (including any foreign securities) to the National Bank of Slovakia (provided that the value of the foreign assets exceeds an amount of €2,000,000). These reports must be submitted on a monthly basis by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the respective calendar month, as well as on a quarterly basis by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day of the calendar month following the respective calendar quarter, using notification form DEV (NBS) 1-12, which may be found at the National Bank of Slovakia’s website at </w:t>
      </w:r>
      <w:r>
        <w:rPr>
          <w:rFonts w:ascii="Arial;sans-serif" w:hAnsi="Arial;sans-serif"/>
          <w:b w:val="false"/>
          <w:color w:val="0070C0"/>
          <w:sz w:val="20"/>
        </w:rPr>
        <w:t>www.nbs.sk</w:t>
      </w:r>
      <w:r>
        <w:rPr>
          <w:rFonts w:ascii="Arial;sans-serif" w:hAnsi="Arial;sans-serif"/>
          <w:b w:val="false"/>
          <w:color w:val="000000"/>
          <w:sz w:val="20"/>
        </w:rPr>
        <w:t xml:space="preserv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SOUTH AFRICA</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agrees to notify the Employer of the amount of any gain realized upon vesting of the Award. If the Participant fails to advise the Employer of the gain realized upon vesting, the Participant may be liable for a fine. The Participant will be responsible for paying any difference between the actual tax liability and the amount withheld.</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67665"/>
                <wp:effectExtent l="0" t="0" r="0" b="0"/>
                <wp:wrapNone/>
                <wp:docPr id="197" name="Frame1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48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48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participate in the Plan, the Participant must comply with exchange control regulations and rulings (the “Exchange Control Regulations”) in South Africa.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Because the Exchange Control Regulations change frequently and without notice, the Participant understands that he or she should consult a legal advisor prior to the acquisition or sale of shares under the Plan to ensure compliance with current regulations. The Participant understands that it is his or her responsibility to comply with South African exchange control laws, and neither the Corporation nor the Employer will be liable for any fines or penalties resulting from failure to comply with applicable laws.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compliance with South African securities law, the Participant acknowledges that the documents listed below are available for review at the addresses listed below:</w:t>
      </w:r>
    </w:p>
    <w:p>
      <w:pPr>
        <w:pStyle w:val="TextBody"/>
        <w:bidi w:val="0"/>
        <w:spacing w:lineRule="auto" w:line="288" w:before="0" w:after="0"/>
        <w:ind w:left="0" w:right="0" w:hanging="360"/>
        <w:jc w:val="left"/>
        <w:rPr/>
      </w:pPr>
      <w:r>
        <w:rPr>
          <w:rFonts w:ascii="Arial;sans-serif" w:hAnsi="Arial;sans-serif"/>
          <w:b w:val="false"/>
          <w:color w:val="000000"/>
          <w:sz w:val="20"/>
        </w:rPr>
        <w:t xml:space="preserve">a)The Corporation's most recent annual financial statements: </w:t>
      </w:r>
      <w:r>
        <w:rPr>
          <w:rFonts w:ascii="Arial;sans-serif" w:hAnsi="Arial;sans-serif"/>
          <w:b w:val="false"/>
          <w:color w:val="0070C0"/>
          <w:sz w:val="20"/>
        </w:rPr>
        <w:t>https://investor.kimberly-clark.com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 xml:space="preserve">b)The Corporation's most recent Plan prospectus may be accessed online through Merrill Lynch, or such other stock plan service provider as may be selected by the Corporation in the future, at </w:t>
      </w:r>
      <w:r>
        <w:rPr>
          <w:rFonts w:ascii="Arial;sans-serif" w:hAnsi="Arial;sans-serif"/>
          <w:b w:val="false"/>
          <w:color w:val="0070C0"/>
          <w:sz w:val="20"/>
        </w:rPr>
        <w:t>www.mybenefits.ml.com</w:t>
      </w:r>
      <w:r>
        <w:rPr>
          <w:color w:val="000000"/>
        </w:rPr>
        <w:t xml:space="preserve"> </w:t>
      </w:r>
      <w:r>
        <w:rPr>
          <w:rFonts w:ascii="Arial;sans-serif" w:hAnsi="Arial;sans-serif"/>
          <w:b w:val="false"/>
          <w:color w:val="000000"/>
          <w:sz w:val="20"/>
        </w:rPr>
        <w:t>in the Document Library.</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copy of the above documents will be sent free of charge upon written request to Stock Plan Administrator, P.O. Box 619100, Dallas, Texas 75261-9100. In addition, the Participant should contact his or her tax advisor for specific information concerning his or her personal tax situation with regard to Plan participation.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SPAIN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pPr>
      <w:r>
        <w:rPr>
          <w:rFonts w:ascii="Arial;sans-serif" w:hAnsi="Arial;sans-serif"/>
          <w:b w:val="false"/>
          <w:color w:val="000000"/>
          <w:sz w:val="20"/>
        </w:rPr>
        <w:t xml:space="preserve">No “offer of securities to the public,” as defined under Spanish law, has taken place or will take place in the Spanish territory in connection with the grant of the Award. The Award Agreement (including this Appendix A) has not been, nor will it be, registered with the </w:t>
      </w:r>
      <w:r>
        <w:rPr>
          <w:rFonts w:ascii="Arial;sans-serif" w:hAnsi="Arial;sans-serif"/>
          <w:b w:val="false"/>
          <w:i/>
          <w:color w:val="000000"/>
          <w:sz w:val="20"/>
        </w:rPr>
        <w:t>Comisión Nacional del Mercado de Valores</w:t>
      </w:r>
      <w:r>
        <w:rPr>
          <w:rFonts w:ascii="Arial;sans-serif" w:hAnsi="Arial;sans-serif"/>
          <w:b w:val="false"/>
          <w:color w:val="000000"/>
          <w:sz w:val="20"/>
        </w:rPr>
        <w:t>, and does not constitute a public offering prospectus.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Labor Law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accepting the Award, the Participant acknowledges that he or she understands and agrees to participation in the Plan and that he or she has received a copy of the Plan.</w:t>
      </w:r>
    </w:p>
    <w:p>
      <w:pPr>
        <w:pStyle w:val="TextBody"/>
        <w:bidi w:val="0"/>
        <w:spacing w:lineRule="auto" w:line="288" w:before="0" w:after="240"/>
        <w:jc w:val="left"/>
        <w:rPr/>
      </w:pPr>
      <w:r>
        <w:rPr>
          <w:rFonts w:ascii="Arial;sans-serif" w:hAnsi="Arial;sans-serif"/>
          <w:b w:val="false"/>
          <w:color w:val="000000"/>
          <w:sz w:val="20"/>
        </w:rPr>
        <w:t>The Participant understands that the Corporation has unilaterally, gratuitously and discretionally decided to grant Awards under the Plan to individuals who may be employees of the Corporation or its Affiliates throughout the world. The decision is a limited decision that is entered into upon the express assumption and condition that (i) any grant will not economically or otherwise bind the Corporation or any of its Affiliates other than as expressly set forth in the Award Agreement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 xml:space="preserve">the RSUs are not to be considered an acquired right or more beneficial condition to be repeated in the future); (ii) the RSUs and the shares of Common Stock acquired under the Plan are not part of any employment or service contract (either with the Corporation or any of its Affiliates) and shall not be considered a mandatory benefit, salary for any purposes (including severance compensation) or any other right whatsoever; and (iii) the RSUs will cease vesting upon the Participant’s termination of employment . Further, the Participant understands and freely accepts that there is no guarantee that any benefit whatsoever shall arise from any gratuitous and discretionary grant since the future value of the Award and the underlying shares is unknown and unpredictable. In addition, the Participant understands that this grant would not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67665"/>
                <wp:effectExtent l="0" t="0" r="0" b="0"/>
                <wp:wrapNone/>
                <wp:docPr id="198" name="Frame1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49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49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be made but for the assumptions and conditions referred to above; thus, the Participant understands, acknowledges and freely accepts that should any or all of the assumptions be mistaken or should any of the conditions not be met for any reason, then the Award shall be null and void.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Further, the Participant understands that the Award is a conditional right. Participant shall forfeit any unvested Award upon termination of employment unless such termination is (i) due to a Qualified Termination of Employment, or (ii) due to death, Total and Permanent Disability, or the shutdown or divestiture of a business unit. Vesting will cease, for example, regardless of whether (1) the Participant is considered to be unfairly dismissed without good cause (i.e., subject to a “despido improcedente”); (2) the Participant is dismissed for disciplinary or objective reasons or due to a collective dismissal; (3) the Participant terminates his or her employment or service relationship due to a change of work location, duties or any other employment or contractual condition; and (4) the Participant terminates his or her employment or service relationship due to a unilateral breach of contract by the Corporation or an Affiliate. Consequently, upon termination of the Participant’s employment or service relationship for any of the above reasons, the Participant may automatically lose any rights to the RSUs that were not vested on the date of termination of the Participant’s employment or service relationship, as described in the Plan and the Award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Exchange Control Information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Corporation) depending on the value of such accounts and instruments and the amount of the transactions during the relevant year as of December 31 of the relevant year.</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Foreign Asset/Account Reporting Information</w:t>
      </w:r>
    </w:p>
    <w:p>
      <w:pPr>
        <w:pStyle w:val="TextBody"/>
        <w:bidi w:val="0"/>
        <w:spacing w:lineRule="auto" w:line="288" w:before="0" w:after="240"/>
        <w:jc w:val="left"/>
        <w:rPr/>
      </w:pPr>
      <w:r>
        <w:rPr>
          <w:rFonts w:ascii="Arial;sans-serif" w:hAnsi="Arial;sans-serif"/>
          <w:b w:val="false"/>
          <w:color w:val="000000"/>
          <w:sz w:val="20"/>
        </w:rPr>
        <w:t>If the Participant holds rights or assets (</w:t>
      </w:r>
      <w:r>
        <w:rPr>
          <w:rFonts w:ascii="Arial;sans-serif" w:hAnsi="Arial;sans-serif"/>
          <w:b w:val="false"/>
          <w:i/>
          <w:color w:val="000000"/>
          <w:sz w:val="20"/>
        </w:rPr>
        <w:t>e.g.</w:t>
      </w:r>
      <w:r>
        <w:rPr>
          <w:rFonts w:ascii="Arial;sans-serif" w:hAnsi="Arial;sans-serif"/>
          <w:b w:val="false"/>
          <w:color w:val="000000"/>
          <w:sz w:val="20"/>
        </w:rPr>
        <w:t>, shares of Common Stock or cash held in a bank or brokerage account) outside of Spain with a value in excess of €50,000 per type of right or asset (</w:t>
      </w:r>
      <w:r>
        <w:rPr>
          <w:rFonts w:ascii="Arial;sans-serif" w:hAnsi="Arial;sans-serif"/>
          <w:b w:val="false"/>
          <w:i/>
          <w:color w:val="000000"/>
          <w:sz w:val="20"/>
        </w:rPr>
        <w:t>e.g.</w:t>
      </w:r>
      <w:r>
        <w:rPr>
          <w:rFonts w:ascii="Arial;sans-serif" w:hAnsi="Arial;sans-serif"/>
          <w:b w:val="false"/>
          <w:color w:val="000000"/>
          <w:sz w:val="20"/>
        </w:rPr>
        <w:t>, shares of Common Stock, cash, etc.) as of December 31 each year, 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or if the ownership of the assets is transferred or relinquished during the year.  The reporting must be completed by the following March 31.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SWITZERLAND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Neither this document nor any other materials relating to the Awards (i) constitutes a prospectus according to articles 35 et seq. of the Swiss Federal Act on Financial Services (“FinSA”) (ii) may be publicly distributed or otherwise made publicly available in Switzerland to any person other than a participant or (iii) has been or will be filed with, approved or supervised by any Swiss reviewing body according to article 51 FinSA or any Swiss regulatory authority, including the Swiss Financial Market Supervisory Authority (“FINMA”).</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67665"/>
                <wp:effectExtent l="0" t="0" r="0" b="0"/>
                <wp:wrapNone/>
                <wp:docPr id="199" name="Frame1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50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50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TAIWAN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Data Privacy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provision supplements the data privacy section in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that he or she has read and understands the terms regarding collection, processing and transfer of data contained in the Acknowledgment of Conditions section of the Award Agreement and, by participating in the Plan the Participant agrees to such terms. In this regard, upon request of the Corporation or the Employer, the Participant agrees to provide any executed data privacy consent form to the Employer or the Corporation (or any other agreements or consents that may be required by the Employer or the Corporation) that the Corporation and/or the Employer may deem necessary to obtain under the data privacy laws now or in the future. The Participant understands that he or she will not be able to participate in the Plan if the Participant fails to execute any such consent or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offer of participation in the Plan is available only for employees of the Corporation and its Affiliates. The offer of participation in the Plan is not a public offer of securities by a Taiwanese company.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Taiwanese residents may acquire and remit foreign currency (including proceeds from the sale of shares of Common Stock or the receipt of dividends) into and out of Taiwan up to US$10,000,000 per year. If the transaction amount is TWD500,000 or more in a single transaction, the Participant must submit a foreign exchange transaction form and also provide supporting documentation to the satisfaction of the remitting bank.</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THAILAND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Participant receives proceeds from the sale of shares of Common Stock or cash dividends in relation to the shares of Common Stock in excess of US$1,000,000 in a single transaction, the Participant must immediately repatriate all the funds to Thailand (or utilize such funds offshore for permissible purposes) and convert the funds to Thai Baht within 360 days of repatriation or deposit the funds in an authorized foreign exchange account in Thailand. The Participant is also required to provide details of the transaction (i.e., identification information and purpose of the transaction) to the receiving bank.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should consult their personal advisor prior to taking any action with respect to remittance of proceeds from the sale of shares of Common Stock into Thailand. The Participant is responsible for ensuring compliance with all exchange control laws in Thailand.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TURKEY</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Turkish residents are not permitted to sell shares of Common Stock acquired under the Plan in Turkey. Turkish residents must sell the shares of Common Stock acquired under the Plan outside of Turkey. The Shares are currently traded on the NASDAQ in the U.S. under the ticker symbol “KMB” and shares of Common Stock may be sold on this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67665"/>
                <wp:effectExtent l="0" t="0" r="0" b="0"/>
                <wp:wrapNone/>
                <wp:docPr id="200" name="Frame1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51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51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Exchange Control Information</w:t>
      </w:r>
    </w:p>
    <w:p>
      <w:pPr>
        <w:pStyle w:val="TextBody"/>
        <w:bidi w:val="0"/>
        <w:spacing w:lineRule="auto" w:line="288" w:before="0" w:after="240"/>
        <w:jc w:val="left"/>
        <w:rPr/>
      </w:pPr>
      <w:r>
        <w:rPr>
          <w:rFonts w:ascii="Arial;sans-serif" w:hAnsi="Arial;sans-serif"/>
          <w:b w:val="false"/>
          <w:color w:val="000000"/>
          <w:sz w:val="20"/>
        </w:rPr>
        <w:t>Under Turkish law, Turkish residents are permitted to purchase and sell securities or derivatives traded on exchanges abroad only through a financial intermediary licensed in Turkey.  Therefore, the Participant may be required to appoint a Turkish broker to assist him or her with the sale of the shares of Common Stock acquired under the Plan.  </w:t>
      </w:r>
      <w:r>
        <w:rPr>
          <w:rFonts w:ascii="Arial;sans-serif" w:hAnsi="Arial;sans-serif"/>
          <w:b w:val="false"/>
          <w:i/>
          <w:color w:val="000000"/>
          <w:sz w:val="20"/>
        </w:rPr>
        <w:t>The Participant should consult his or her personal legal advisor before selling any shares of Common Stock acquired under the Plan to confirm the applicability of this requirement to the Participant.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UKRAINE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Ukraine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Participant through local payroll. The Corporation reserves the right to settle the Awards in shares of Common Stock to the extent the Corporation determines it is necessary or advisable for legal or administrative reasons.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UNITED ARAB EMIRATES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Securities Law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offer of the Award is available only for select employees of the Corporation and its Affiliates and is in the nature of providing employee incentives in the United Arab Emirates. The Plan and the Award Agreement are intended for distribution only to such employees and must not be delivered to, or relied on, by any other person. Prospective purchasers of securities should conduct their own due diligence.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Emirates Securities and Commodities Authority has no responsibility for reviewing or verifying any documents in connection with this statement, including the Plan and the Award Agreement, or any other incidental communication materials distributed in connection with the Award. Further, neither the Ministry of Economy nor the Dubai Department of Economic Development has approved this statement nor taken steps to verify the information set out in it, and has no responsibility for it. Residents of the United Arab Emirates who have any questions regarding the contents of the Plan and the Award Agreement should obtain independent professional advice.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UNITED KINGDOM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Tax Acknowledgment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information supplements the information regarding Tax-Related Items in the Acknowledgment of Conditions section of the Award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Without limitation to the information regarding Tax-Related Items in the Award Agreement, the Participant agrees that he or she is liable for all Tax-Related Items and hereby covenants to pay all such Tax-Related Items, as and when requested by the Corporation or, if different, the Employer or by HM Revenue &amp; Customs (“HMRC”) (or any other tax authority or any other relevant authority). The Participant agrees to indemnify and keep indemnified the Corporation and/or the Employer for all Tax-Related Items that they are required to pay, or withhold or have paid or will pay to HMRC on the Participant’s behalf (or any other tax authority or any other relevant authority) and authorizes the Corporation and/or the Employer to recover such amounts by any of the means referred to in the Acknowledgment of Conditions section of the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67665"/>
                <wp:effectExtent l="0" t="0" r="0" b="0"/>
                <wp:wrapNone/>
                <wp:docPr id="201" name="Frame2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52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52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the foregoing, if the Participant is an executive officer or director (as within the meaning of Section 13(k) of the U.S. Securities and Exchange Act of 1934, as amended), the Participant understands that he or she may not be able to indemnify the Corporation for the amount of any Tax-Related Items not collected from or paid by the Participant, if the indemnification could be considered a loan. In this case, the Tax-Related Items not collected or paid may constitute a benefit to the Participant on which additional income tax and National Insurance contributions (“NICs”) may be payable.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Participant acknowledges that the Participant ultimately will be responsible for reporting and paying any income tax due on this additional benefit directly to HMRC under the self-assessment regime and for paying to the Corporation or the Employer (as appropriate) the amount of any NICs due on this additional benefit, which the Corporation and/or the Employer may also recover from the Participant at any time thereafter by any of the means referred to in the Acknowledgment of Conditions section of the Award Agreement.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UNITED STATES</w:t>
      </w:r>
    </w:p>
    <w:tbl>
      <w:tblPr>
        <w:tblW w:w="10205" w:type="dxa"/>
        <w:jc w:val="left"/>
        <w:tblInd w:w="0" w:type="dxa"/>
        <w:tblLayout w:type="fixed"/>
        <w:tblCellMar>
          <w:top w:w="28" w:type="dxa"/>
          <w:left w:w="28" w:type="dxa"/>
          <w:bottom w:w="28" w:type="dxa"/>
          <w:right w:w="28" w:type="dxa"/>
        </w:tblCellMar>
      </w:tblPr>
      <w:tblGrid>
        <w:gridCol w:w="347"/>
        <w:gridCol w:w="305"/>
        <w:gridCol w:w="307"/>
        <w:gridCol w:w="2748"/>
        <w:gridCol w:w="2683"/>
        <w:gridCol w:w="381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92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shd w:fill="FFFFFF"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FFFFF" w:val="clear"/>
              </w:rPr>
              <w:t>Agreement prevents the Participant from discussing or disclosing information about unlawful acts in the workplace, such as harassment or discrimination or any other conduct that the Participant has reason to believe is unlawful.</w:t>
            </w:r>
          </w:p>
        </w:tc>
      </w:tr>
      <w:tr>
        <w:trPr/>
        <w:tc>
          <w:tcPr>
            <w:tcW w:w="9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Colorado</w:t>
            </w:r>
          </w:p>
        </w:tc>
        <w:tc>
          <w:tcPr>
            <w:tcW w:w="92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limits the Participant’s ability to disclose or discuss, either orally or in writing, any alleged discriminatory or unfair employment practice. This Award Agreement does not prohibit disclosure of information that arises from the Participant’s general training, knowledge, skill, or experience, whether gained on the job or otherwise, information that is readily ascertainable to the public, or information that the Participant otherwise has a right to disclose as legally protected conduct.</w:t>
            </w:r>
          </w:p>
        </w:tc>
      </w:tr>
      <w:tr>
        <w:trPr/>
        <w:tc>
          <w:tcPr>
            <w:tcW w:w="9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Hawaii</w:t>
            </w:r>
          </w:p>
        </w:tc>
        <w:tc>
          <w:tcPr>
            <w:tcW w:w="92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disclosing or discussing sexual harassment or sexual assault occurring in the workplace, at work-related events, between employees, or between an employer and an employee.</w:t>
            </w:r>
          </w:p>
        </w:tc>
      </w:tr>
      <w:tr>
        <w:trPr/>
        <w:tc>
          <w:tcPr>
            <w:tcW w:w="9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Illinois</w:t>
            </w:r>
          </w:p>
        </w:tc>
        <w:tc>
          <w:tcPr>
            <w:tcW w:w="92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engaging in protected concerted activity to address work-related issues, including prospective or future concerted activity related to workplace conditions.</w:t>
            </w:r>
          </w:p>
          <w:p>
            <w:pPr>
              <w:pStyle w:val="TableContents"/>
              <w:bidi w:val="0"/>
              <w:spacing w:lineRule="auto" w:line="288" w:before="0" w:after="120"/>
              <w:jc w:val="left"/>
              <w:rPr/>
            </w:pPr>
            <w:r>
              <w:rPr>
                <w:rFonts w:ascii="Arial;sans-serif" w:hAnsi="Arial;sans-serif"/>
                <w:b w:val="false"/>
                <w:color w:val="000000"/>
                <w:sz w:val="20"/>
              </w:rPr>
              <w:t xml:space="preserve">Nothing in this Award Agreement prevents the Participant from making truthful statements or disclosures regarding unlawful employment practices </w:t>
            </w:r>
            <w:r>
              <w:rPr>
                <w:rFonts w:ascii="Arial;sans-serif" w:hAnsi="Arial;sans-serif"/>
                <w:b w:val="false"/>
                <w:color w:val="000000"/>
                <w:sz w:val="20"/>
                <w:shd w:fill="FFFFFF" w:val="clear"/>
              </w:rPr>
              <w:t>or from reporting any allegations of unlawful conduct to federal, state, or local officials for investigation, including, but not limited to, alleged criminal conduct or unlawful employment practices, or from testifying in administrative, legislative, arbitral, or judicial proceedings concerning alleged criminal conduct or unlawful employment practices, or from participating in depositions in any such proceedings, when required or requested to do so by court order, subpoena or other written government request.</w:t>
            </w:r>
          </w:p>
          <w:p>
            <w:pPr>
              <w:pStyle w:val="TableContents"/>
              <w:bidi w:val="0"/>
              <w:spacing w:lineRule="auto" w:line="288" w:before="0" w:after="120"/>
              <w:jc w:val="left"/>
              <w:rPr/>
            </w:pPr>
            <w:r>
              <w:rPr>
                <w:rFonts w:ascii="Arial;sans-serif" w:hAnsi="Arial;sans-serif"/>
                <w:b w:val="false"/>
                <w:color w:val="000000"/>
                <w:sz w:val="20"/>
                <w:shd w:fill="FFFFFF" w:val="clear"/>
              </w:rPr>
              <w:t>For any disputes arising under Section 19, the choice of law and venue shall be the state of Illinois</w:t>
            </w:r>
            <w:r>
              <w:rPr>
                <w:rFonts w:ascii="Arial;sans-serif" w:hAnsi="Arial;sans-serif"/>
                <w:b w:val="false"/>
                <w:color w:val="000000"/>
                <w:sz w:val="20"/>
              </w:rPr>
              <w:t>.</w:t>
            </w:r>
          </w:p>
        </w:tc>
      </w:tr>
      <w:tr>
        <w:trPr/>
        <w:tc>
          <w:tcPr>
            <w:tcW w:w="9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Maine</w:t>
            </w:r>
          </w:p>
        </w:tc>
        <w:tc>
          <w:tcPr>
            <w:tcW w:w="92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rPr>
              <w:t xml:space="preserve">Nothing in this Award Agreement prevents the Participant from </w:t>
            </w:r>
            <w:r>
              <w:rPr>
                <w:rFonts w:ascii="Arial;sans-serif" w:hAnsi="Arial;sans-serif"/>
                <w:b w:val="false"/>
                <w:color w:val="000000"/>
                <w:sz w:val="20"/>
                <w:shd w:fill="FFFFFF" w:val="clear"/>
              </w:rPr>
              <w:t>disclosing or discussing unlawful employment discrimination occurring in the workplace or at work-related events.</w:t>
            </w:r>
          </w:p>
        </w:tc>
      </w:tr>
      <w:tr>
        <w:trPr/>
        <w:tc>
          <w:tcPr>
            <w:tcW w:w="95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Jersey</w:t>
            </w:r>
          </w:p>
        </w:tc>
        <w:tc>
          <w:tcPr>
            <w:tcW w:w="924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left"/>
              <w:rPr/>
            </w:pPr>
            <w:r>
              <w:rPr>
                <w:rFonts w:ascii="Arial;sans-serif" w:hAnsi="Arial;sans-serif"/>
                <w:b w:val="false"/>
                <w:color w:val="000000"/>
                <w:sz w:val="20"/>
                <w:shd w:fill="FEFEFE"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EFEFE" w:val="clear"/>
              </w:rPr>
              <w:t xml:space="preserve">Agreement requires the </w:t>
            </w:r>
            <w:r>
              <w:rPr>
                <w:rFonts w:ascii="Arial;sans-serif" w:hAnsi="Arial;sans-serif"/>
                <w:b w:val="false"/>
                <w:color w:val="000000"/>
                <w:sz w:val="20"/>
              </w:rPr>
              <w:t xml:space="preserve">Participant </w:t>
            </w:r>
            <w:r>
              <w:rPr>
                <w:rFonts w:ascii="Arial;sans-serif" w:hAnsi="Arial;sans-serif"/>
                <w:b w:val="false"/>
                <w:color w:val="000000"/>
                <w:sz w:val="20"/>
                <w:shd w:fill="FEFEFE" w:val="clear"/>
              </w:rPr>
              <w:t>to conceal the details relating to a claim of discrimination, retaliation, or harassment.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67665"/>
                <wp:effectExtent l="0" t="0" r="0" b="0"/>
                <wp:wrapNone/>
                <wp:docPr id="202" name="Frame2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53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53 of 56</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5"/>
        <w:gridCol w:w="400"/>
        <w:gridCol w:w="292"/>
        <w:gridCol w:w="2928"/>
        <w:gridCol w:w="2532"/>
        <w:gridCol w:w="3598"/>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8" w:type="dxa"/>
            <w:tcBorders/>
            <w:vAlign w:val="center"/>
          </w:tcPr>
          <w:p>
            <w:pPr>
              <w:pStyle w:val="TableContents"/>
              <w:bidi w:val="0"/>
              <w:spacing w:before="0" w:after="283"/>
              <w:jc w:val="left"/>
              <w:rPr>
                <w:sz w:val="4"/>
                <w:szCs w:val="4"/>
              </w:rPr>
            </w:pPr>
            <w:r>
              <w:rPr>
                <w:sz w:val="4"/>
                <w:szCs w:val="4"/>
              </w:rPr>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9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20"/>
                <w:shd w:fill="FEFEFE" w:val="clear"/>
              </w:rPr>
              <w:t xml:space="preserve">Nothing in this </w:t>
            </w:r>
            <w:r>
              <w:rPr>
                <w:rFonts w:ascii="Arial;sans-serif" w:hAnsi="Arial;sans-serif"/>
                <w:b w:val="false"/>
                <w:color w:val="000000"/>
                <w:sz w:val="20"/>
              </w:rPr>
              <w:t xml:space="preserve">Award </w:t>
            </w:r>
            <w:r>
              <w:rPr>
                <w:rFonts w:ascii="Arial;sans-serif" w:hAnsi="Arial;sans-serif"/>
                <w:b w:val="false"/>
                <w:color w:val="000000"/>
                <w:sz w:val="20"/>
                <w:shd w:fill="FEFEFE" w:val="clear"/>
              </w:rPr>
              <w:t xml:space="preserve">Agreement prevents the </w:t>
            </w:r>
            <w:r>
              <w:rPr>
                <w:rFonts w:ascii="Arial;sans-serif" w:hAnsi="Arial;sans-serif"/>
                <w:b w:val="false"/>
                <w:color w:val="000000"/>
                <w:sz w:val="20"/>
              </w:rPr>
              <w:t xml:space="preserve">Participant </w:t>
            </w:r>
            <w:r>
              <w:rPr>
                <w:rFonts w:ascii="Arial;sans-serif" w:hAnsi="Arial;sans-serif"/>
                <w:b w:val="false"/>
                <w:color w:val="000000"/>
                <w:sz w:val="20"/>
                <w:shd w:fill="FEFEFE" w:val="clear"/>
              </w:rPr>
              <w:t>from (a) disclosing factual information related to any future claim of discrimination or (b) making any disclosure relating to any claim the factual foundation for which involves unlawful discrimination, including discriminatory harassment, or retaliation (including disclosure of the underlying facts and circumstances of the claim).</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Oregon</w:t>
            </w:r>
          </w:p>
        </w:tc>
        <w:tc>
          <w:tcPr>
            <w:tcW w:w="9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Nothing in the Award Agreement prevents the Participant from disclosing or discussing conduct (a) that constitutes discrimination prohibited by ORS 659A.030 (Discrimination because of race, color, religion, sex, sexual orientation, gender identity, national origin, marital status, age or expunged juvenile record prohibited), including conduct that constitutes sexual assault, or by ORS 659A.082 (Discrimination against person for service in uniformed service prohibited) or 659A.112 (Employment discrimination), and (b) that occurred between employees or between an employer and an employee in the workplace or at a work-related event that is off the employment premises and coordinated by or through the employer, or between an employer and an employee off the employment premises.</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Rhode Island</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requires that alleged violations of civil rights or alleged unlawful conduct remain confidential.</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Tennessee</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prevents the Participant from disclosing sexual harassment in the workplace.</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Vermont</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restricts the Participant’s right to oppose, disclose or report sexual harassment.</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Virginia</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Nothing in this Award Agreement requires the Participant to conceal the details relating to a claim of sexual assault or sexual harassment.</w:t>
            </w:r>
          </w:p>
        </w:tc>
      </w:tr>
      <w:tr>
        <w:trPr/>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Washington</w:t>
            </w:r>
          </w:p>
        </w:tc>
        <w:tc>
          <w:tcPr>
            <w:tcW w:w="905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Nothing in this Award Agreement (or any other agreement signed by the Participant) prevents the Participant from disclosing or discussing conduct, or the existence of a settlement involving conduct, that the Participant reasonably believed under Washington state, federal, or common law to be illegal discrimination, illegal harassment, illegal retaliation, a wage and hour violation, or sexual assault, or that is recognized as against a clear mandate of public policy. </w:t>
            </w:r>
          </w:p>
        </w:tc>
      </w:tr>
      <w:tr>
        <w:trPr/>
        <w:tc>
          <w:tcPr>
            <w:tcW w:w="114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Wisconsin</w:t>
            </w:r>
          </w:p>
        </w:tc>
        <w:tc>
          <w:tcPr>
            <w:tcW w:w="9058"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Participant’s confidentiality obligations outlined in Section 19(e) of this Award Agreement with regard to any particular Confidential Information shall commence immediately upon the Participant first having access to such Confidential Information and shall continue during and after employment with the Corporation and its Affiliates until such time as such Confidential Information has become public knowledge other than as a result of the Participant’s breach of this Award Agreement or breach by those acting in concert with the Participant or on the Participant’s behalf, and shall last for two (2) years after the Participant’s employment with the Corporation or its Affiliates ends. Except for “trade secrets” as defined in Wisconsin Statutes §134.90, which are governed by that statute, (a) “Confidential Information” is limited to information that is not generally known to the public (other than through Participant’s disclosure in breach of contract or violation of applicable law) and that would be of value to a competitor if known to that competitor, and (b) the prohibition on disclosure and use of Confidential Information shall apply only (i) during employment and for a period of two years after employment ends and (ii) within the geographic area in which the Corporation and its Affiliates were engaged in business at any time during the most recent three months of Participant’s employment with the Corporation and its Affiliates.</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67665"/>
                <wp:effectExtent l="0" t="0" r="0" b="0"/>
                <wp:wrapNone/>
                <wp:docPr id="203" name="Frame2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54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54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URUGUAY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VIETNAM</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Awards Payable in Cash Only</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Notwithstanding anything in the Award Agreement, Awards granted to Participants in Vietnam do not provide any right for the Participant to receive shares of Common Stock and shall be paid only in cash through local payroll in an amount equal to the value of the shares at vesting less any Tax-Related Items. The Participant agrees to bear any currency fluctuation risk between the time the Awards vest and the time the cash payment is distributed to the Participant through local payroll. The Corporation reserves the right to settle the Awards in shares of Common Stock to the extent the Corporation determines it is necessary or advisable for legal or administrative reasons.</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67665"/>
                <wp:effectExtent l="0" t="0" r="0" b="0"/>
                <wp:wrapNone/>
                <wp:docPr id="204" name="Frame2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55 of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55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ANNUAL TIME-VESTED RESTRICTED STOCK UNIT</w:t>
      </w:r>
    </w:p>
    <w:p>
      <w:pPr>
        <w:pStyle w:val="TextBody"/>
        <w:bidi w:val="0"/>
        <w:spacing w:lineRule="auto" w:line="319" w:before="0" w:after="0"/>
        <w:jc w:val="center"/>
        <w:rPr/>
      </w:pPr>
      <w:r>
        <w:rPr>
          <w:rFonts w:ascii="Arial;sans-serif" w:hAnsi="Arial;sans-serif"/>
          <w:b/>
          <w:color w:val="000000"/>
          <w:sz w:val="20"/>
        </w:rPr>
        <w:t>AWARD AGREEMENT</w:t>
      </w:r>
      <w:r>
        <w:rPr>
          <w:color w:val="000000"/>
        </w:rPr>
        <w:t xml:space="preserve">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 xml:space="preserve">APPENDIX B </w:t>
      </w:r>
    </w:p>
    <w:p>
      <w:pPr>
        <w:pStyle w:val="TextBody"/>
        <w:bidi w:val="0"/>
        <w:spacing w:before="0" w:after="0"/>
        <w:jc w:val="center"/>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Subject to Section 19(i), the length of the Participant’s non-competition obligations following termination of employment as set forth in Section 19(b) and/or Section 20(c) of this Award Agreement is based on the Participant’s Salary Grade as of the date of termination of employment: </w:t>
      </w:r>
    </w:p>
    <w:p>
      <w:pPr>
        <w:pStyle w:val="TextBody"/>
        <w:bidi w:val="0"/>
        <w:spacing w:before="0" w:after="0"/>
        <w:jc w:val="left"/>
        <w:rPr/>
      </w:pPr>
      <w:r>
        <w:rPr/>
      </w:r>
    </w:p>
    <w:tbl>
      <w:tblPr>
        <w:tblW w:w="9720" w:type="dxa"/>
        <w:jc w:val="center"/>
        <w:tblInd w:w="0" w:type="dxa"/>
        <w:tblLayout w:type="fixed"/>
        <w:tblCellMar>
          <w:top w:w="28" w:type="dxa"/>
          <w:left w:w="28" w:type="dxa"/>
          <w:bottom w:w="28" w:type="dxa"/>
          <w:right w:w="28" w:type="dxa"/>
        </w:tblCellMar>
      </w:tblPr>
      <w:tblGrid>
        <w:gridCol w:w="852"/>
        <w:gridCol w:w="750"/>
        <w:gridCol w:w="753"/>
        <w:gridCol w:w="2155"/>
        <w:gridCol w:w="2155"/>
        <w:gridCol w:w="305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color w:val="000000"/>
                <w:sz w:val="20"/>
              </w:rPr>
            </w:pPr>
            <w:r>
              <w:rPr>
                <w:rFonts w:ascii="Arial;sans-serif" w:hAnsi="Arial;sans-serif"/>
                <w:b/>
                <w:color w:val="000000"/>
                <w:sz w:val="20"/>
              </w:rPr>
              <w:t>Salary Grade</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color w:val="000000"/>
                <w:sz w:val="20"/>
              </w:rPr>
            </w:pPr>
            <w:r>
              <w:rPr>
                <w:rFonts w:ascii="Arial;sans-serif" w:hAnsi="Arial;sans-serif"/>
                <w:b/>
                <w:color w:val="000000"/>
                <w:sz w:val="20"/>
              </w:rPr>
              <w:t>Length of Non-Competition Obligation Following Termination of Employment</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ELT</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Non-ELT Elected Officers</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1</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2</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3</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4</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Two (2) years</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5</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6</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7</w:t>
            </w:r>
          </w:p>
        </w:tc>
        <w:tc>
          <w:tcPr>
            <w:tcW w:w="7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One (1) year</w:t>
            </w:r>
          </w:p>
        </w:tc>
      </w:tr>
      <w:tr>
        <w:trPr/>
        <w:tc>
          <w:tcPr>
            <w:tcW w:w="23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8</w:t>
            </w:r>
          </w:p>
        </w:tc>
        <w:tc>
          <w:tcPr>
            <w:tcW w:w="73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One (1) year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67665"/>
                <wp:effectExtent l="0" t="0" r="0" b="0"/>
                <wp:wrapNone/>
                <wp:docPr id="205" name="Frame2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56 of 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Page 56 of 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(31)a</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Michael D. Hsu, certify that:</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Kimberly-Clark Corporation (the “registrant”);</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tbl>
      <w:tblPr>
        <w:tblW w:w="6326"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332"/>
        <w:gridCol w:w="1332"/>
        <w:gridCol w:w="1895"/>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D. Hsu</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Hsu</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of the Board and Chief Executive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(31)b</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Nelson Urdaneta, certify that:</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Kimberly-Clark Corporation (the “registrant”);</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tbl>
      <w:tblPr>
        <w:tblW w:w="6177"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289"/>
        <w:gridCol w:w="1289"/>
        <w:gridCol w:w="1832"/>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Nelson Urdaneta</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Nelson Urdaneta</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(32)a</w:t>
      </w:r>
    </w:p>
    <w:p>
      <w:pPr>
        <w:pStyle w:val="TextBody"/>
        <w:bidi w:val="0"/>
        <w:spacing w:lineRule="auto" w:line="288" w:before="180" w:after="283"/>
        <w:jc w:val="center"/>
        <w:rPr>
          <w:rFonts w:ascii="Arial;sans-serif" w:hAnsi="Arial;sans-serif"/>
          <w:b/>
          <w:color w:val="000000"/>
          <w:sz w:val="20"/>
          <w:u w:val="single"/>
        </w:rPr>
      </w:pPr>
      <w:r>
        <w:rPr>
          <w:rFonts w:ascii="Arial;sans-serif" w:hAnsi="Arial;sans-serif"/>
          <w:b/>
          <w:color w:val="000000"/>
          <w:sz w:val="20"/>
          <w:u w:val="single"/>
        </w:rPr>
        <w:t>Certification of Chief Executive Officer</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Pursuant to Section 1350 of Chapter 63 of Title 18 of the United States Code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Michael D. Hsu, Chairman of the Board and Chief Executive Officer of Kimberly-Clark Corporation, certify that, to my knowledge:</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(1)the Form 10-Q, filed with the Securities and Exchange Commission on August 4, 2026 (“accompanied report”) fully complies with the requirements of Section 13(a) or 15(d) of the Securities Exchange Act of 1934; and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accompanied report fairly presents, in all material respects, the financial condition and results of operations of Kimberly-Clark Corporation.</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tbl>
      <w:tblPr>
        <w:tblW w:w="6326"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332"/>
        <w:gridCol w:w="1332"/>
        <w:gridCol w:w="1895"/>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D. Hsu</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Hsu</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of the Board and Chief Executive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(32)b</w:t>
      </w:r>
    </w:p>
    <w:p>
      <w:pPr>
        <w:pStyle w:val="TextBody"/>
        <w:bidi w:val="0"/>
        <w:spacing w:lineRule="auto" w:line="288" w:before="100" w:after="283"/>
        <w:jc w:val="center"/>
        <w:rPr>
          <w:rFonts w:ascii="Arial;sans-serif" w:hAnsi="Arial;sans-serif"/>
          <w:b/>
          <w:color w:val="000000"/>
          <w:sz w:val="20"/>
          <w:u w:val="single"/>
        </w:rPr>
      </w:pPr>
      <w:r>
        <w:rPr>
          <w:rFonts w:ascii="Arial;sans-serif" w:hAnsi="Arial;sans-serif"/>
          <w:b/>
          <w:color w:val="000000"/>
          <w:sz w:val="20"/>
          <w:u w:val="single"/>
        </w:rPr>
        <w:t>Certification of Chief Financial Officer</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Pursuant to Section 1350 of Chapter 63 of Title 18 of the United States Code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Nelson Urdaneta, Senior Vice President and Chief Financial Officer of Kimberly-Clark Corporation, certify that, to my knowledge:</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(1)the Form 10-Q, filed with the Securities and Exchange Commission on August 4, 2026 (“accompanied report”) fully complies with the requirements of Section 13(a) or 15(d) of the Securities Exchange Act of 1934; and</w:t>
      </w:r>
    </w:p>
    <w:p>
      <w:pPr>
        <w:pStyle w:val="TextBody"/>
        <w:bidi w:val="0"/>
        <w:spacing w:lineRule="auto" w:line="288" w:before="10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accompanied report fairly presents, in all material respects, the financial condition and results of operations of Kimberly-Clark Corporation.</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tbl>
      <w:tblPr>
        <w:tblW w:w="6177"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289"/>
        <w:gridCol w:w="1289"/>
        <w:gridCol w:w="1832"/>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Nelson Urdaneta</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Nelson Urdaneta</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116003</Words>
  <Characters>632934</Characters>
  <CharactersWithSpaces>746573</CharactersWithSpaces>
  <Paragraphs>4730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