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color w:val="000000"/>
          <w:sz w:val="32"/>
        </w:rPr>
      </w:pPr>
      <w:r>
        <w:rPr>
          <w:rFonts w:ascii="Arial;sans-serif" w:hAnsi="Arial;sans-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Pursuant to Section 13 or 15(d) of the Securities Exchange Act of 1934</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Date of Report: April 28, 2026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earliest event reported)</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drawing>
          <wp:inline distT="0" distB="0" distL="0" distR="0">
            <wp:extent cx="38195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9525" cy="495300"/>
                    </a:xfrm>
                    <a:prstGeom prst="rect">
                      <a:avLst/>
                    </a:prstGeom>
                  </pic:spPr>
                </pic:pic>
              </a:graphicData>
            </a:graphic>
          </wp:inline>
        </w:drawing>
      </w:r>
      <w:bookmarkStart w:id="0" w:name="i-1"/>
      <w:bookmarkEnd w:id="0"/>
    </w:p>
    <w:p>
      <w:pPr>
        <w:pStyle w:val="TextBody"/>
        <w:bidi w:val="0"/>
        <w:spacing w:before="6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(Exact name of registrant as specified in its charter)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27" w:type="dxa"/>
        <w:jc w:val="center"/>
        <w:tblInd w:w="0" w:type="dxa"/>
        <w:tblLayout w:type="fixed"/>
        <w:tblCellMar>
          <w:top w:w="28" w:type="dxa"/>
          <w:left w:w="28" w:type="dxa"/>
          <w:bottom w:w="28" w:type="dxa"/>
          <w:right w:w="28" w:type="dxa"/>
        </w:tblCellMar>
      </w:tblPr>
      <w:tblGrid>
        <w:gridCol w:w="1377"/>
        <w:gridCol w:w="1210"/>
        <w:gridCol w:w="1222"/>
        <w:gridCol w:w="772"/>
        <w:gridCol w:w="772"/>
        <w:gridCol w:w="780"/>
        <w:gridCol w:w="932"/>
        <w:gridCol w:w="932"/>
        <w:gridCol w:w="1330"/>
      </w:tblGrid>
      <w:tr>
        <w:trPr/>
        <w:tc>
          <w:tcPr>
            <w:tcW w:w="137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1-225</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39-0394230</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P.O. Box 619100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Dallas, TX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75261-9100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(Address of principal executive offices)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Registrant’s telephone number, including area code: (972) 281-1200</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ind w:left="0" w:right="0" w:hanging="360"/>
        <w:jc w:val="left"/>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0" w:after="0"/>
        <w:jc w:val="left"/>
        <w:rPr/>
      </w:pPr>
      <w:r>
        <w:rPr/>
      </w:r>
    </w:p>
    <w:tbl>
      <w:tblPr>
        <w:tblW w:w="8753" w:type="dxa"/>
        <w:jc w:val="center"/>
        <w:tblInd w:w="0" w:type="dxa"/>
        <w:tblLayout w:type="fixed"/>
        <w:tblCellMar>
          <w:top w:w="28" w:type="dxa"/>
          <w:left w:w="28" w:type="dxa"/>
          <w:bottom w:w="28" w:type="dxa"/>
          <w:right w:w="28" w:type="dxa"/>
        </w:tblCellMar>
      </w:tblPr>
      <w:tblGrid>
        <w:gridCol w:w="978"/>
        <w:gridCol w:w="859"/>
        <w:gridCol w:w="863"/>
        <w:gridCol w:w="109"/>
        <w:gridCol w:w="109"/>
        <w:gridCol w:w="109"/>
        <w:gridCol w:w="534"/>
        <w:gridCol w:w="534"/>
        <w:gridCol w:w="536"/>
        <w:gridCol w:w="109"/>
        <w:gridCol w:w="109"/>
        <w:gridCol w:w="109"/>
        <w:gridCol w:w="1108"/>
        <w:gridCol w:w="1108"/>
        <w:gridCol w:w="15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7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Stock-$1.25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Attached and incorporated herein by reference as Exhibit 99.1 is a copy of the press release of Kimberly-Clark Corporation (the "Corporation"), dated April 28, 2026 reporting the Corporation’s results of operations for the quarter ended March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including exhibits attached hereto, in Item 2.02 of this Current Report is being furnished and shall not be deemed "filed" for the purposes of Section 18 of the Securities Exchange Act of 1934, as amended, or otherwise subject to the liabilities of that Section. The information in Item 2.02 of this Current Report shall not be incorporated by reference into any registration statement or other document pursuant to the Securities Act of 1933, as amended, except as otherwise expressly stated in such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(a)Exhibits.</w:t>
      </w:r>
    </w:p>
    <w:p>
      <w:pPr>
        <w:pStyle w:val="TextBody"/>
        <w:bidi w:val="0"/>
        <w:spacing w:before="0" w:after="0"/>
        <w:jc w:val="left"/>
        <w:rPr/>
      </w:pPr>
      <w:r>
        <w:rPr/>
      </w:r>
    </w:p>
    <w:p>
      <w:pPr>
        <w:pStyle w:val="TextBody"/>
        <w:bidi w:val="0"/>
        <w:spacing w:lineRule="auto" w:line="288" w:before="0" w:after="0"/>
        <w:jc w:val="left"/>
        <w:rPr/>
      </w:pPr>
      <w:hyperlink w:anchor="kmbq120268kex-991.htm">
        <w:r>
          <w:rPr>
            <w:rStyle w:val="InternetLink"/>
          </w:rPr>
          <w:t xml:space="preserve">Exhibit No. 99.1 Press release issued by Kimberly-Clark Corporation on </w:t>
        </w:r>
      </w:hyperlink>
      <w:hyperlink w:anchor="kmbq120268kex-991.htm">
        <w:r>
          <w:rPr>
            <w:rStyle w:val="InternetLink"/>
          </w:rPr>
          <w:t>April</w:t>
        </w:r>
      </w:hyperlink>
      <w:hyperlink w:anchor="kmbq120268kex-991.htm">
        <w:r>
          <w:rPr>
            <w:rStyle w:val="InternetLink"/>
          </w:rPr>
          <w:t xml:space="preserve"> </w:t>
        </w:r>
      </w:hyperlink>
      <w:hyperlink w:anchor="kmbq120268kex-991.htm">
        <w:r>
          <w:rPr>
            <w:rStyle w:val="InternetLink"/>
          </w:rPr>
          <w:t>28</w:t>
        </w:r>
      </w:hyperlink>
      <w:hyperlink w:anchor="kmbq120268kex-991.htm">
        <w:r>
          <w:rPr>
            <w:rStyle w:val="InternetLink"/>
          </w:rPr>
          <w:t>, 202</w:t>
        </w:r>
      </w:hyperlink>
      <w:hyperlink w:anchor="kmbq120268kex-991.htm">
        <w:r>
          <w:rPr>
            <w:rStyle w:val="InternetLink"/>
          </w:rPr>
          <w:t>6</w:t>
        </w:r>
      </w:hyperlink>
      <w:hyperlink w:anchor="kmbq120268kex-991.htm">
        <w:r>
          <w:rPr>
            <w:rStyle w:val="InternetLink"/>
          </w:rPr>
          <w:t>.</w:t>
        </w:r>
      </w:hyperlink>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101    Cover Page Interactive Data File - the cover page XBRL tags are embedded within the Inline XBRL document.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104    The cover page from this Current Report on Form 8-K, formatted as Inline XBRL.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530" w:type="dxa"/>
        <w:jc w:val="left"/>
        <w:tblInd w:w="0" w:type="dxa"/>
        <w:tblLayout w:type="fixed"/>
        <w:tblCellMar>
          <w:top w:w="28" w:type="dxa"/>
          <w:left w:w="28" w:type="dxa"/>
          <w:bottom w:w="28" w:type="dxa"/>
          <w:right w:w="28" w:type="dxa"/>
        </w:tblCellMar>
      </w:tblPr>
      <w:tblGrid>
        <w:gridCol w:w="233"/>
        <w:gridCol w:w="205"/>
        <w:gridCol w:w="207"/>
        <w:gridCol w:w="434"/>
        <w:gridCol w:w="434"/>
        <w:gridCol w:w="437"/>
        <w:gridCol w:w="109"/>
        <w:gridCol w:w="109"/>
        <w:gridCol w:w="109"/>
        <w:gridCol w:w="523"/>
        <w:gridCol w:w="523"/>
        <w:gridCol w:w="523"/>
        <w:gridCol w:w="785"/>
        <w:gridCol w:w="785"/>
        <w:gridCol w:w="111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KIMBERLY-CLARK CORPORATION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Andrew Scribner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Andrew Scribner</w:t>
              <w:br/>
              <w:t>Vice President and Controller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6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60" w:after="283"/>
        <w:jc w:val="center"/>
        <w:rPr/>
      </w:pPr>
      <w:r>
        <w:rPr/>
        <w:drawing>
          <wp:inline distT="0" distB="0" distL="0" distR="0">
            <wp:extent cx="3076575" cy="4000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076575" cy="400050"/>
                    </a:xfrm>
                    <a:prstGeom prst="rect">
                      <a:avLst/>
                    </a:prstGeom>
                  </pic:spPr>
                </pic:pic>
              </a:graphicData>
            </a:graphic>
          </wp:inline>
        </w:drawing>
      </w:r>
    </w:p>
    <w:p>
      <w:pPr>
        <w:pStyle w:val="TextBody"/>
        <w:bidi w:val="0"/>
        <w:spacing w:lineRule="auto" w:line="417" w:before="60" w:after="283"/>
        <w:jc w:val="center"/>
        <w:rPr>
          <w:rFonts w:ascii="Arial;sans-serif" w:hAnsi="Arial;sans-serif"/>
          <w:b/>
          <w:color w:val="000000"/>
          <w:sz w:val="20"/>
        </w:rPr>
      </w:pPr>
      <w:r>
        <w:rPr>
          <w:rFonts w:ascii="Arial;sans-serif" w:hAnsi="Arial;sans-serif"/>
          <w:b/>
          <w:color w:val="000000"/>
          <w:sz w:val="20"/>
        </w:rPr>
        <w:t>Kimberly-Clark Announces First Quarter 2026 Results, Reaffirms 2026 Outlook</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Delivers solid volume-plus-mix performance</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fueled by consumer-inspired innovation and strong in-market execution</w:t>
      </w:r>
    </w:p>
    <w:p>
      <w:pPr>
        <w:pStyle w:val="TextBody"/>
        <w:bidi w:val="0"/>
        <w:spacing w:before="0" w:after="0"/>
        <w:jc w:val="left"/>
        <w:rPr/>
      </w:pPr>
      <w:r>
        <w:rPr/>
      </w:r>
    </w:p>
    <w:p>
      <w:pPr>
        <w:pStyle w:val="TextBody"/>
        <w:bidi w:val="0"/>
        <w:spacing w:lineRule="auto" w:line="417" w:before="120" w:after="283"/>
        <w:jc w:val="left"/>
        <w:rPr/>
      </w:pPr>
      <w:r>
        <w:rPr>
          <w:rFonts w:ascii="Arial;sans-serif" w:hAnsi="Arial;sans-serif"/>
          <w:b w:val="false"/>
          <w:color w:val="000000"/>
          <w:sz w:val="20"/>
          <w:shd w:fill="FFFFFF" w:val="clear"/>
        </w:rPr>
        <w:t>DALLAS, April 28, 2026 - Kimberly-Clark Corporation (Nasda</w:t>
      </w:r>
      <w:r>
        <w:rPr>
          <w:rFonts w:ascii="Arial;sans-serif" w:hAnsi="Arial;sans-serif"/>
          <w:b w:val="false"/>
          <w:color w:val="000000"/>
          <w:sz w:val="20"/>
        </w:rPr>
        <w:t>q: KMB</w:t>
      </w:r>
      <w:r>
        <w:rPr>
          <w:rFonts w:ascii="Arial;sans-serif" w:hAnsi="Arial;sans-serif"/>
          <w:b w:val="false"/>
          <w:color w:val="000000"/>
          <w:sz w:val="20"/>
          <w:shd w:fill="FFFFFF" w:val="clear"/>
        </w:rPr>
        <w:t>) today reported first quarter 2026 results driven by resilient consumer demand for the company's brands, the introduction of pioneering innovative new products, and leveraging sustained, industry-leading productivity.</w:t>
      </w:r>
    </w:p>
    <w:p>
      <w:pPr>
        <w:pStyle w:val="TextBody"/>
        <w:bidi w:val="0"/>
        <w:spacing w:lineRule="auto" w:line="417" w:before="180" w:after="283"/>
        <w:jc w:val="left"/>
        <w:rPr>
          <w:color w:val="000000"/>
          <w:shd w:fill="FFFFFF" w:val="clear"/>
        </w:rPr>
      </w:pPr>
      <w:r>
        <w:rPr>
          <w:color w:val="000000"/>
          <w:shd w:fill="FFFFFF" w:val="clear"/>
        </w:rPr>
        <w:t>“</w:t>
      </w:r>
      <w:r>
        <w:rPr>
          <w:rFonts w:ascii="Arial;sans-serif" w:hAnsi="Arial;sans-serif"/>
          <w:b w:val="false"/>
          <w:color w:val="000000"/>
          <w:sz w:val="20"/>
          <w:shd w:fill="FFFFFF" w:val="clear"/>
        </w:rPr>
        <w:t>Our first quarter results highlight the strength and resilience of the growth engine we’ve built through Powering Care,” said Kimberly-Clark Chairman and CEO Mike Hsu. “We continued to deliver solid volume-plus-mix performance while building share momentum despite continued geopolitical and macroeconomic uncertainty. We accomplished this by driving consumer-inspired innovation, growing brand love, and executing exceptionally well as a team. Simultaneously, we continue to generate meaningful cost savings that reinforce our strong financial foundation and enable us to invest in our exciting future.”</w:t>
      </w:r>
    </w:p>
    <w:p>
      <w:pPr>
        <w:pStyle w:val="TextBody"/>
        <w:bidi w:val="0"/>
        <w:spacing w:lineRule="auto" w:line="417" w:before="18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Hsu continued, "With our core business gaining momentum and one of the strongest innovation and commercial activation lineups in our history set to launch in the second quarter, we’re preparing Kimberly-Clark to unlock the unique, generational value creation opportunity ahead with the acquisition of Kenvue. We have industry-leading momentum thanks to our teams around the world, and we’re excited to accelerate into our next chapter and build a company unlike any other in our industry today."</w:t>
      </w:r>
    </w:p>
    <w:p>
      <w:pPr>
        <w:pStyle w:val="TextBody"/>
        <w:bidi w:val="0"/>
        <w:spacing w:lineRule="auto" w:line="417" w:before="180" w:after="283"/>
        <w:jc w:val="left"/>
        <w:rPr/>
      </w:pPr>
      <w:r>
        <w:rPr>
          <w:rFonts w:ascii="Arial;sans-serif" w:hAnsi="Arial;sans-serif"/>
          <w:b/>
          <w:color w:val="000000"/>
          <w:sz w:val="20"/>
        </w:rPr>
        <w:t>Qu</w:t>
      </w:r>
      <w:r>
        <w:rPr>
          <w:rFonts w:ascii="Arial;sans-serif" w:hAnsi="Arial;sans-serif"/>
          <w:b/>
          <w:color w:val="000000"/>
          <w:sz w:val="20"/>
          <w:shd w:fill="FFFFFF" w:val="clear"/>
        </w:rPr>
        <w:t>arter Highlights</w:t>
      </w:r>
    </w:p>
    <w:p>
      <w:pPr>
        <w:pStyle w:val="TextBody"/>
        <w:bidi w:val="0"/>
        <w:spacing w:lineRule="auto" w:line="417" w:before="120" w:after="283"/>
        <w:ind w:left="0" w:right="0" w:hanging="360"/>
        <w:jc w:val="left"/>
        <w:rPr/>
      </w:pPr>
      <w:r>
        <w:rPr>
          <w:color w:val="000000"/>
        </w:rPr>
        <w:t>•</w:t>
      </w:r>
      <w:r>
        <w:rPr>
          <w:rFonts w:ascii="Arial;sans-serif" w:hAnsi="Arial;sans-serif"/>
          <w:b w:val="false"/>
          <w:color w:val="000000"/>
          <w:sz w:val="20"/>
        </w:rPr>
        <w:t>Unless otherwise noted, reported results in this release are based on continuing operations and exclude the International Family Care and Professional ("IFP") business, which is reported as discontinued operations.</w:t>
      </w:r>
    </w:p>
    <w:p>
      <w:pPr>
        <w:pStyle w:val="TextBody"/>
        <w:bidi w:val="0"/>
        <w:spacing w:lineRule="auto" w:line="417" w:before="120" w:after="283"/>
        <w:ind w:left="0" w:right="0" w:hanging="360"/>
        <w:jc w:val="left"/>
        <w:rPr/>
      </w:pPr>
      <w:r>
        <w:rPr>
          <w:color w:val="000000"/>
        </w:rPr>
        <w:t>•</w:t>
      </w:r>
      <w:r>
        <w:rPr>
          <w:rFonts w:ascii="Arial;sans-serif" w:hAnsi="Arial;sans-serif"/>
          <w:b w:val="false"/>
          <w:color w:val="000000"/>
          <w:sz w:val="20"/>
        </w:rPr>
        <w:t xml:space="preserve">Delivered net sales of $4.2 billion, up 2.7 percent, with organic sales growth of 2.5 percent. </w:t>
      </w:r>
    </w:p>
    <w:p>
      <w:pPr>
        <w:pStyle w:val="TextBody"/>
        <w:bidi w:val="0"/>
        <w:spacing w:lineRule="auto" w:line="417" w:before="120" w:after="283"/>
        <w:ind w:left="0" w:right="0" w:hanging="360"/>
        <w:jc w:val="left"/>
        <w:rPr/>
      </w:pPr>
      <w:r>
        <w:rPr>
          <w:color w:val="000000"/>
        </w:rPr>
        <w:t>•</w:t>
      </w:r>
      <w:r>
        <w:rPr>
          <w:rFonts w:ascii="Arial;sans-serif" w:hAnsi="Arial;sans-serif"/>
          <w:b w:val="false"/>
          <w:color w:val="000000"/>
          <w:sz w:val="20"/>
        </w:rPr>
        <w:t>Gross margin was 36.8 percent; adjusted gross margin was 37.9 percent, down 60 basis points versus the prior year.</w:t>
      </w:r>
    </w:p>
    <w:p>
      <w:pPr>
        <w:pStyle w:val="TextBody"/>
        <w:bidi w:val="0"/>
        <w:spacing w:lineRule="auto" w:line="417" w:before="120" w:after="283"/>
        <w:ind w:left="0" w:right="0" w:hanging="360"/>
        <w:jc w:val="left"/>
        <w:rPr/>
      </w:pPr>
      <w:r>
        <w:rPr>
          <w:color w:val="000000"/>
        </w:rPr>
        <w:t>•</w:t>
      </w:r>
      <w:r>
        <w:rPr>
          <w:rFonts w:ascii="Arial;sans-serif" w:hAnsi="Arial;sans-serif"/>
          <w:b w:val="false"/>
          <w:color w:val="000000"/>
          <w:sz w:val="20"/>
        </w:rPr>
        <w:t>Operating profit for the quarter was $753 million, while adjusted operating profit was $732 million, up 3.7 percent versus the prior year driven by strong productivity savings, lower marketing, research and general expenses reflecting overhead savings, and favorable currency translation.</w:t>
      </w:r>
    </w:p>
    <w:p>
      <w:pPr>
        <w:pStyle w:val="TextBody"/>
        <w:bidi w:val="0"/>
        <w:spacing w:lineRule="auto" w:line="417" w:before="120" w:after="283"/>
        <w:ind w:left="0" w:right="0" w:hanging="360"/>
        <w:jc w:val="left"/>
        <w:rPr/>
      </w:pPr>
      <w:r>
        <w:rPr>
          <w:color w:val="000000"/>
        </w:rPr>
        <w:t>•</w:t>
      </w:r>
      <w:r>
        <w:rPr>
          <w:rFonts w:ascii="Arial;sans-serif" w:hAnsi="Arial;sans-serif"/>
          <w:b w:val="false"/>
          <w:color w:val="000000"/>
          <w:sz w:val="20"/>
        </w:rPr>
        <w:t>Diluted earnings per share ("EPS") from continuing operations were $1.70; adjusted EPS from continuing operations were $1.60, down 1.2 percent versus the prior year.</w:t>
      </w:r>
    </w:p>
    <w:p>
      <w:pPr>
        <w:pStyle w:val="TextBody"/>
        <w:bidi w:val="0"/>
        <w:spacing w:lineRule="auto" w:line="417" w:before="120" w:after="283"/>
        <w:ind w:left="0" w:right="0" w:hanging="360"/>
        <w:jc w:val="left"/>
        <w:rPr/>
      </w:pPr>
      <w:r>
        <w:rPr>
          <w:color w:val="000000"/>
        </w:rPr>
        <w:t>•</w:t>
      </w:r>
      <w:r>
        <w:rPr>
          <w:rFonts w:ascii="Arial;sans-serif" w:hAnsi="Arial;sans-serif"/>
          <w:b w:val="false"/>
          <w:color w:val="000000"/>
          <w:sz w:val="20"/>
        </w:rPr>
        <w:t>Diluted EPS attributable to Kimberly-Clark were $2.00; adjusted EPS attributable to Kimberly-Clark were $1.97, up 2.1 percent versus the prior year.</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First Quarter 2026 Results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Net sales of $4.2 billion increased 2.7 percent, as organic sales growth of 2.5 percent and favorable currency impacts of 2.0 percent were partially offset by a 1.8 percent decline from the exit of the company's private label diaper business in the US. Organic sales growth was driven by volume-plus-mix growth of 3.0 percent, partially offset by lower pricing of 0.5 percent to drive trial of new products and enhance value propositions.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Gross margin was 36.8 percent compared to 37.2 percent in the prior year, inclusive of $42 million, or 110 basis points, and $53 million, or approximately 130 basis points, respectively, of charges related to the 2024 Transformation Initiative. Excluding these charges, adjusted gross margin was 37.9 percent, a decrease of 60 basis points versus the prior year as strong productivity savings were more than offset by unfavorable pricing net of cost inflation, reflecting planned investments to drive new product trial and improve price:value tiers across the portfolio, and supply chain related investments.</w:t>
      </w:r>
    </w:p>
    <w:p>
      <w:pPr>
        <w:pStyle w:val="TextBody"/>
        <w:bidi w:val="0"/>
        <w:spacing w:lineRule="auto" w:line="417" w:before="120" w:after="283"/>
        <w:jc w:val="left"/>
        <w:rPr/>
      </w:pPr>
      <w:r>
        <w:rPr>
          <w:rFonts w:ascii="Arial;sans-serif" w:hAnsi="Arial;sans-serif"/>
          <w:b w:val="false"/>
          <w:color w:val="000000"/>
          <w:sz w:val="20"/>
        </w:rPr>
        <w:t>First quarter operating profit was $753</w:t>
      </w:r>
      <w:r>
        <w:rPr>
          <w:color w:val="FF0000"/>
        </w:rPr>
        <w:t xml:space="preserve"> </w:t>
      </w:r>
      <w:r>
        <w:rPr>
          <w:rFonts w:ascii="Arial;sans-serif" w:hAnsi="Arial;sans-serif"/>
          <w:b w:val="false"/>
          <w:color w:val="000000"/>
          <w:sz w:val="20"/>
        </w:rPr>
        <w:t xml:space="preserve">million compared to $631 million in the prior year. Current quarter results included a $120 million benefit related to the settlement of insurance claims from a previous acquisition, and $99 million of charges related to the 2024 Transformation Initiative and Kenvue acquisition. Prior year results included $75 million of charges related to the 2024 Transformation Initiative. Excluding these items, adjusted operating profit was $732 million compared to $706 million, an increase of 3.7 percent </w:t>
      </w:r>
      <w:r>
        <w:rPr>
          <w:rFonts w:ascii="Arial;sans-serif" w:hAnsi="Arial;sans-serif"/>
          <w:b w:val="false"/>
          <w:color w:val="000000"/>
          <w:sz w:val="20"/>
          <w:shd w:fill="FFFFFF" w:val="clear"/>
        </w:rPr>
        <w:t xml:space="preserve">driven by strong productivity savings, lower marketing, research and general expenses, and favorable currency translation.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Net interest expense was $53 million versus $57 million in the prior year primarily driven by lower interest expense.</w:t>
      </w:r>
    </w:p>
    <w:p>
      <w:pPr>
        <w:pStyle w:val="TextBody"/>
        <w:bidi w:val="0"/>
        <w:spacing w:lineRule="auto" w:line="417" w:before="120" w:after="283"/>
        <w:jc w:val="left"/>
        <w:rPr/>
      </w:pPr>
      <w:r>
        <w:rPr>
          <w:rFonts w:ascii="Arial;sans-serif" w:hAnsi="Arial;sans-serif"/>
          <w:b w:val="false"/>
          <w:color w:val="000000"/>
          <w:sz w:val="20"/>
        </w:rPr>
        <w:t>The first quarter effective tax rate was 23.9 percent, compared to 23.5 percent in the prior year. On an adjusted basis, the effective rate was 26.2 percent compared to 20.7 percent in the p</w:t>
      </w:r>
      <w:r>
        <w:rPr>
          <w:rFonts w:ascii="Arial;sans-serif" w:hAnsi="Arial;sans-serif"/>
          <w:b w:val="false"/>
          <w:color w:val="000000"/>
          <w:sz w:val="20"/>
          <w:shd w:fill="FFFFFF" w:val="clear"/>
        </w:rPr>
        <w:t>rior year, primarily reflecting discrete unfavorable factors in the current year compared to discrete tax benefits in the first quarter of 2025 related to the resolution of certain tax matters as well as a change in the US tax law effective July 2025.</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Net income of equity companies was $53 million compared to $44 million in the prior year driven primarily by favorable currency translation.</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Income from discontinued operations, net of income taxes was $101 million, inclusive of pre-tax separation costs of $32 million, compared to $103 million in the prior year. Adjusted income from discontinued operations was $125 million compared to $103 million in the prior year, an increase of 21.4 percent primarily driven by lower depreciation and amortization expense of approximately $30 million in the current year due to reporting requirements for discontinued operations.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Diluted EPS from continuing operations were $1.70 compared to $1.39 in the prior year. These reported amounts are inclusive of a $0.10 net benefit and $0.23 of charges, respectively, for the certain items discussed above that management doesn't believe reflect our underlying and ongoing operations. Excluding these items, adjusted EPS from continuing operations were $1.60, a decline of 1.2 percent primarily due to the higher adjusted effective tax rate discussed above.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Diluted EPS attributable to Kimberly-Clark in the quarter were $2.00 compared to $1.70 in the prior year. These reported amounts are inclusive of $0.03 of net benefit and $0.23 of charges, respectively, for certain items discussed above that management doesn't believe reflect our underlying and ongoing operations. Excluding these </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items, adjusted EPS attributable to Kimberly-Clark were $1.97, up 2.1 percent driven by higher adjusted operating profit and income from discontinued operations, partially offset by a higher adjusted effective tax rate. </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Business Segment Results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72"/>
        <w:gridCol w:w="353"/>
        <w:gridCol w:w="354"/>
        <w:gridCol w:w="109"/>
        <w:gridCol w:w="109"/>
        <w:gridCol w:w="109"/>
        <w:gridCol w:w="250"/>
        <w:gridCol w:w="250"/>
        <w:gridCol w:w="251"/>
        <w:gridCol w:w="109"/>
        <w:gridCol w:w="109"/>
        <w:gridCol w:w="109"/>
        <w:gridCol w:w="219"/>
        <w:gridCol w:w="219"/>
        <w:gridCol w:w="220"/>
        <w:gridCol w:w="109"/>
        <w:gridCol w:w="109"/>
        <w:gridCol w:w="109"/>
        <w:gridCol w:w="209"/>
        <w:gridCol w:w="209"/>
        <w:gridCol w:w="210"/>
        <w:gridCol w:w="109"/>
        <w:gridCol w:w="109"/>
        <w:gridCol w:w="109"/>
        <w:gridCol w:w="517"/>
        <w:gridCol w:w="517"/>
        <w:gridCol w:w="518"/>
        <w:gridCol w:w="109"/>
        <w:gridCol w:w="109"/>
        <w:gridCol w:w="109"/>
        <w:gridCol w:w="416"/>
        <w:gridCol w:w="416"/>
        <w:gridCol w:w="417"/>
        <w:gridCol w:w="109"/>
        <w:gridCol w:w="109"/>
        <w:gridCol w:w="109"/>
        <w:gridCol w:w="197"/>
        <w:gridCol w:w="197"/>
        <w:gridCol w:w="198"/>
        <w:gridCol w:w="109"/>
        <w:gridCol w:w="109"/>
        <w:gridCol w:w="109"/>
        <w:gridCol w:w="262"/>
        <w:gridCol w:w="262"/>
        <w:gridCol w:w="383"/>
      </w:tblGrid>
      <w:tr>
        <w:trPr/>
        <w:tc>
          <w:tcPr>
            <w:tcW w:w="8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Q1 change vs year ago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Mix/Other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Net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8"/>
              </w:rPr>
              <w:t>Divestitures and Business Exits</w:t>
            </w:r>
            <w:r>
              <w:rPr>
                <w:rFonts w:ascii="Arial;sans-serif" w:hAnsi="Arial;sans-serif"/>
                <w:b/>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8"/>
              </w:rPr>
              <w:t>Total</w:t>
            </w:r>
            <w:r>
              <w:rPr>
                <w:rFonts w:ascii="Arial;sans-serif" w:hAnsi="Arial;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8"/>
              </w:rPr>
              <w:t>Organic</w:t>
            </w:r>
            <w:r>
              <w:rPr>
                <w:rFonts w:ascii="Arial;sans-serif" w:hAnsi="Arial;sans-serif"/>
                <w:b/>
                <w:color w:val="000000"/>
                <w:sz w:val="12"/>
              </w:rPr>
              <w:t>(b)</w:t>
            </w:r>
          </w:p>
        </w:tc>
      </w:tr>
      <w:tr>
        <w:trPr/>
        <w:tc>
          <w:tcPr>
            <w:tcW w:w="1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2.5</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1.8</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4.0</w:t>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    Total may not sum across due to rounding.</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(b)    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(c)    Impact of the exit of the Company's private label diaper business in the United States and other exited businesses and markets in conjunction with the 2024 Transformation Initiative.</w:t>
      </w:r>
    </w:p>
    <w:p>
      <w:pPr>
        <w:pStyle w:val="TextBody"/>
        <w:bidi w:val="0"/>
        <w:spacing w:lineRule="auto" w:line="417" w:before="180" w:after="283"/>
        <w:ind w:left="0" w:right="0" w:hanging="360"/>
        <w:jc w:val="left"/>
        <w:rPr>
          <w:rFonts w:ascii="Arial;sans-serif" w:hAnsi="Arial;sans-serif"/>
          <w:b/>
          <w:color w:val="000000"/>
          <w:sz w:val="20"/>
          <w:u w:val="single"/>
        </w:rPr>
      </w:pPr>
      <w:r>
        <w:rPr>
          <w:rFonts w:ascii="Arial;sans-serif" w:hAnsi="Arial;sans-serif"/>
          <w:b/>
          <w:color w:val="000000"/>
          <w:sz w:val="20"/>
          <w:u w:val="single"/>
        </w:rPr>
        <w:t>North America ("NA")</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Net sales of $2.7 billion decreased 0.6 percent in the quarter, driven by a 2.7 percent impact from the exit of the company's private label diaper business in the US that was partially offset by solid, underlying organic net sales growth. Organic sales increased 1.8 percent primarily driven by broad-based volume growth reflecting the strength of innovations and activations in the quarter.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Operating profit of $623 million decreased 8.1 percent driven by a 490 basis point headwind from business exits and higher advertising investments that were partially offset by strong productivity savings.</w:t>
      </w:r>
    </w:p>
    <w:p>
      <w:pPr>
        <w:pStyle w:val="TextBody"/>
        <w:bidi w:val="0"/>
        <w:spacing w:lineRule="auto" w:line="417" w:before="180" w:after="283"/>
        <w:jc w:val="left"/>
        <w:rPr>
          <w:rFonts w:ascii="Arial;sans-serif" w:hAnsi="Arial;sans-serif"/>
          <w:b/>
          <w:color w:val="000000"/>
          <w:sz w:val="20"/>
          <w:u w:val="single"/>
        </w:rPr>
      </w:pPr>
      <w:r>
        <w:rPr>
          <w:rFonts w:ascii="Arial;sans-serif" w:hAnsi="Arial;sans-serif"/>
          <w:b/>
          <w:color w:val="000000"/>
          <w:sz w:val="20"/>
          <w:u w:val="single"/>
        </w:rPr>
        <w:t>International Personal Care ("IPC")</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Net sales of $1.5 billion increased 9.1 percent driven by organic sales growth of 4.0 percent and favorable currency impacts. Organic sales benefitted from strong volume-led growth of 4.1 percent and enhanced portfolio mix of 1.4 percent that reflected improvements in consumer value propositions across the portfolio, partially offset by price investments of 1.5 percent.</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Operating profit of $245 million increased 21.9 percent reflecting volume- and mix-led gains, strong productivity savings, favorable currency impacts, and lower overhead costs that were partially offset by investments in price:value tiers resulting in negative pricing net of cost inflation. </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Cash Flow and Balance Sheet</w:t>
      </w:r>
    </w:p>
    <w:p>
      <w:pPr>
        <w:pStyle w:val="TextBody"/>
        <w:bidi w:val="0"/>
        <w:spacing w:lineRule="auto" w:line="417" w:before="120" w:after="283"/>
        <w:jc w:val="left"/>
        <w:rPr/>
      </w:pPr>
      <w:r>
        <w:rPr>
          <w:rFonts w:ascii="Arial;sans-serif" w:hAnsi="Arial;sans-serif"/>
          <w:b w:val="false"/>
          <w:color w:val="000000"/>
          <w:sz w:val="20"/>
          <w:shd w:fill="FFFFFF" w:val="clear"/>
        </w:rPr>
        <w:t>Cash provided by operations (inclusive of discontinued operations) w</w:t>
      </w:r>
      <w:r>
        <w:rPr>
          <w:rFonts w:ascii="Arial;sans-serif" w:hAnsi="Arial;sans-serif"/>
          <w:b w:val="false"/>
          <w:color w:val="000000"/>
          <w:sz w:val="20"/>
        </w:rPr>
        <w:t>as $745 million compared to $327 million</w:t>
      </w:r>
      <w:r>
        <w:rPr>
          <w:color w:val="000000"/>
          <w:shd w:fill="FFFFFF" w:val="clear"/>
        </w:rPr>
        <w:t xml:space="preserve"> </w:t>
      </w:r>
      <w:r>
        <w:rPr>
          <w:rFonts w:ascii="Arial;sans-serif" w:hAnsi="Arial;sans-serif"/>
          <w:b w:val="false"/>
          <w:color w:val="000000"/>
          <w:sz w:val="20"/>
          <w:shd w:fill="FFFFFF" w:val="clear"/>
        </w:rPr>
        <w:t>las</w:t>
      </w:r>
      <w:r>
        <w:rPr>
          <w:rFonts w:ascii="Arial;sans-serif" w:hAnsi="Arial;sans-serif"/>
          <w:b w:val="false"/>
          <w:color w:val="000000"/>
          <w:sz w:val="20"/>
        </w:rPr>
        <w:t>t year. Year-to</w:t>
      </w:r>
      <w:r>
        <w:rPr>
          <w:rFonts w:ascii="Arial;sans-serif" w:hAnsi="Arial;sans-serif"/>
          <w:b w:val="false"/>
          <w:color w:val="000000"/>
          <w:sz w:val="20"/>
          <w:shd w:fill="FFFFFF" w:val="clear"/>
        </w:rPr>
        <w:t>-date capital spending</w:t>
      </w:r>
      <w:r>
        <w:rPr>
          <w:color w:val="000000"/>
        </w:rPr>
        <w:t xml:space="preserve"> </w:t>
      </w:r>
      <w:r>
        <w:rPr>
          <w:rFonts w:ascii="Arial;sans-serif" w:hAnsi="Arial;sans-serif"/>
          <w:b w:val="false"/>
          <w:color w:val="000000"/>
          <w:sz w:val="20"/>
        </w:rPr>
        <w:t>was $424 million compared to $204 mi</w:t>
      </w:r>
      <w:r>
        <w:rPr>
          <w:rFonts w:ascii="Arial;sans-serif" w:hAnsi="Arial;sans-serif"/>
          <w:b w:val="false"/>
          <w:color w:val="000000"/>
          <w:sz w:val="20"/>
          <w:shd w:fill="FFFFFF" w:val="clear"/>
        </w:rPr>
        <w:t>llion last year. The company returned</w:t>
      </w:r>
      <w:r>
        <w:rPr>
          <w:color w:val="000000"/>
        </w:rPr>
        <w:t xml:space="preserve"> </w:t>
      </w:r>
      <w:r>
        <w:rPr>
          <w:rFonts w:ascii="Arial;sans-serif" w:hAnsi="Arial;sans-serif"/>
          <w:b w:val="false"/>
          <w:color w:val="000000"/>
          <w:sz w:val="20"/>
        </w:rPr>
        <w:t>$418 million to shareholders thr</w:t>
      </w:r>
      <w:r>
        <w:rPr>
          <w:rFonts w:ascii="Arial;sans-serif" w:hAnsi="Arial;sans-serif"/>
          <w:b w:val="false"/>
          <w:color w:val="000000"/>
          <w:sz w:val="20"/>
          <w:shd w:fill="FFFFFF" w:val="clear"/>
        </w:rPr>
        <w:t xml:space="preserve">ough dividends. Total </w:t>
      </w:r>
      <w:r>
        <w:rPr>
          <w:rFonts w:ascii="Arial;sans-serif" w:hAnsi="Arial;sans-serif"/>
          <w:b w:val="false"/>
          <w:color w:val="000000"/>
          <w:sz w:val="20"/>
        </w:rPr>
        <w:t>debt was $7.1 billion as of March 31, 2026, down from $7.2 billion as of December 31, 2025.</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2026 Outlook</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Consistent with the Company's long term growth algorithm, it continues to expect 2026 Organic Sales Growth to grow in line to ahead of the weighted average growth in the categories and countries it competes, which for the </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latest twelve months grew at approximately two-and-a-half percent. Reported Net Sales are forecast to reflect a negative impact of 50 basis points from the exit of the company's private label diaper business in the US and an approximately 50 basis points favorable impact from currency translation. Adjusted Operating Profit is expected to grow at a mid-to-high single-digit rate on a constant-currency basis. Adjusted Earnings Per Share from Continuing Operations are expected to grow at a double-digit rate on a constant-currency basis driven by an approximately 40 percent increase in income from equity companies versus 2025, expectations of flat net interest expense, an Adjusted Effective Tax Rate of approximately 23 percent, and average shares outstanding essentially unchanged versus 2025. Adjusted Earnings Per Share Attributable to Kimberly-Clark are expected to be flat on a constant-currency basis reflecting a reduction in Income from Discontinued Operations in line with the expected close of the IFP transaction in mid-2026, the proceeds from which will be held to fund, in part, the Kenvue acquisition. Earnings Per Share are expected to be favorably impacted by currency translation of approximately 170 basis points. </w:t>
      </w:r>
    </w:p>
    <w:p>
      <w:pPr>
        <w:pStyle w:val="TextBody"/>
        <w:bidi w:val="0"/>
        <w:spacing w:lineRule="auto" w:line="417" w:before="180" w:after="283"/>
        <w:jc w:val="left"/>
        <w:rPr>
          <w:rFonts w:ascii="Arial;sans-serif" w:hAnsi="Arial;sans-serif"/>
          <w:b w:val="false"/>
          <w:color w:val="000000"/>
          <w:sz w:val="20"/>
        </w:rPr>
      </w:pPr>
      <w:r>
        <w:rPr>
          <w:rFonts w:ascii="Arial;sans-serif" w:hAnsi="Arial;sans-serif"/>
          <w:b w:val="false"/>
          <w:color w:val="000000"/>
          <w:sz w:val="20"/>
        </w:rPr>
        <w:t>This outlook reflects assumptions subject to change given the macro environment.</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Supplemental Materials and Live Webcast</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Supplemental materials will be available at approximately 6:30 a.m. Eastern Daylight Time in the Investor Relations section of the Kimberly-Clark website. The company will host a live Q&amp;A session with investors and analysts on April 28, 2026, at 8:00 a.m. Eastern Daylight Time. The supplemental materials and Kimberly-Clark's Q&amp;A session can be accessed at the Investor Relations section of the Kimberly-Clark website. A replay of the webcast will be available following the event through the same website.</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About Kimberly-Clark</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Kimberly-Clark (NASDAQ: KMB) and its trusted brands are an indispensable part of life for people in more than 175 countries and territories. Our portfolio of brands, including Huggies, Kleenex, Scott, Kotex, Cottonelle, Poise, Depend, Andrex, Pull-Ups, Goodnites, Intimus, Plenitud, Sweety, Softex, Viva and WypAll, hold No. 1 or No. 2 share positions in approximately 70 countries. Our company’s purpose is to deliver Better Care for a Better World. We are committed to using sustainable practices designed to support a healthy planet, build strong communities, and enable our business to thrive for decades to come. To keep up with the latest news and learn more about the company's more than 150-year history of innovation, visit the Kimberly-Clark website.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Copies of Kimberly-Clark's Annual Report to Stockholders and its proxy statements and other SEC filings, including Annual Reports on Form 10-K, Quarterly Reports on Form 10-Q and Current Reports on Form 8-K, are made available free of charge on the company's website on the same day they are filed with the SEC. To view these filings, visit the Investors section of the company's website.</w:t>
      </w: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Certain matters contained in this press release concerning our plans and expectations regarding the pending mergers with Kenvue and the pending International Family Care and Professional (“IFP”) joint venture transaction with Suzano (“IFP Transaction”), the business outlook, including raw material, energy and other input costs, the anticipated charges and savings from the 2024 Transformation Initiative, cash flow and uses of cash, growth initiatives, innovations, marketing and other spending, net sales, anticipated currency rates and exchange risks, including the impact in Argentina and Türkiye, effective tax rate, contingencies and anticipated transactions of </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 xml:space="preserve">Kimberly-Clark, including dividends, share repurchases and pension contributions, constitute "forward-looking statements" within the meaning of the Private Securities Litigation Reform Act of 1995 and are based upon management's expectations and beliefs concerning future events impacting Kimberly-Clark. There can be no assurance that these future events will occur as anticipated or that our results will be as estimated. Forward-looking statements speak only as of the date they were made, and we undertake no obligation to publicly update them. </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The assumptions used as a basis for the forward-looking statements include many estimates that, among other things, depend on the successful completion of the mergers with Kenvue and the achievement of future cost savings and projected volume increases. In addition, many factors outside our control, including risks and uncertainties around the pending mergers with Kenvue (including the risk that the anticipated benefits and synergies of the mergers may not be realized when expected or at all, the terms and scope of the expected financing in connection with the mergers may prove to be less favorable than currently expected, that the mergers may not be completed in a timely manner or at all and the risk of litigation related to the mergers), the pending IFP Transaction (including risks related to delays or failure to complete the proposed transaction, the incurrence of significant transaction and separation costs, adverse market reactions, regulatory or legal challenges, and operational disruptions), risks that we are not able to realize the anticipated benefits of the 2024 Transformation Initiative (including risks related to disruptions to our business or operations or related to any delays in implementation), war in Ukraine (including the related responses of consumers, customers, and suppliers and sanctions issued by the U.S., the European Union, Russia or other countries), government trade or similar regulatory actions (including current and potential trade and tariff actions affecting the countries where we operate and the resulting negative impacts on our supply chain, commodity costs, and consumer spending), pandemics, epidemics, fluctuations in foreign currency exchange rates, the prices and availability of our raw materials, supply chain disruptions, disruptions in the capital and credit markets, counterparty defaults (including customers, suppliers and financial institutions with which we do business), failure to realize the expected benefits or synergies from our acquisition and disposition activity, impairment of goodwill and intangible assets and our projections of operating results and other factors that may affect our impairment testing, changes in customer preferences, severe weather conditions, regional instabilities and hostilities (including the war in Iran), potential competitive pressures on selling prices for our products, energy costs, general economic and political conditions globally and in the markets in which we do business, as well as our ability to maintain key customer relationships, could affect the realization of these estimates.</w:t>
      </w:r>
    </w:p>
    <w:p>
      <w:pPr>
        <w:pStyle w:val="TextBody"/>
        <w:bidi w:val="0"/>
        <w:spacing w:lineRule="auto" w:line="417" w:before="120" w:after="283"/>
        <w:jc w:val="left"/>
        <w:rPr>
          <w:rFonts w:ascii="Arial;sans-serif" w:hAnsi="Arial;sans-serif"/>
          <w:b w:val="false"/>
          <w:color w:val="000000"/>
          <w:sz w:val="20"/>
        </w:rPr>
      </w:pPr>
      <w:r>
        <w:rPr>
          <w:rFonts w:ascii="Arial;sans-serif" w:hAnsi="Arial;sans-serif"/>
          <w:b w:val="false"/>
          <w:color w:val="000000"/>
          <w:sz w:val="20"/>
        </w:rPr>
        <w:t>The factors described under Item 1A, “Risk Factors” in our Annual Report on Form 10-K for the year ended December 31, 2025, or in our other SEC filings, among others, could cause our future results to differ from those expressed in any forward-looking statements made by us or on our behalf. Other factors not presently known to us or that we presently consider immaterial could also affect our business operations and financial results.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(Millions, except per share amounts)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57"/>
        <w:gridCol w:w="1845"/>
        <w:gridCol w:w="1830"/>
        <w:gridCol w:w="109"/>
        <w:gridCol w:w="109"/>
        <w:gridCol w:w="109"/>
        <w:gridCol w:w="241"/>
        <w:gridCol w:w="740"/>
        <w:gridCol w:w="124"/>
        <w:gridCol w:w="124"/>
        <w:gridCol w:w="124"/>
        <w:gridCol w:w="124"/>
        <w:gridCol w:w="241"/>
        <w:gridCol w:w="740"/>
        <w:gridCol w:w="124"/>
        <w:gridCol w:w="109"/>
        <w:gridCol w:w="109"/>
        <w:gridCol w:w="109"/>
        <w:gridCol w:w="269"/>
        <w:gridCol w:w="272"/>
        <w:gridCol w:w="496"/>
      </w:tblGrid>
      <w:tr>
        <w:trPr/>
        <w:tc>
          <w:tcPr>
            <w:tcW w:w="225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4,163</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2,629</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1,534</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research and general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and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753</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 Before Income Taxes and Equity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685</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 Before Equity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521</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 of net income of equity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574</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Discontinued Operations, 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675</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Kimberly-Clark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665</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 Share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Kimberly-Clark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0.30</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shares as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331.9</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diluted shares for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333.2</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N.M. - Not Meaningful</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(Millions)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8827" w:type="dxa"/>
        <w:jc w:val="left"/>
        <w:tblInd w:w="0" w:type="dxa"/>
        <w:tblLayout w:type="fixed"/>
        <w:tblCellMar>
          <w:top w:w="28" w:type="dxa"/>
          <w:left w:w="28" w:type="dxa"/>
          <w:bottom w:w="28" w:type="dxa"/>
          <w:right w:w="28" w:type="dxa"/>
        </w:tblCellMar>
      </w:tblPr>
      <w:tblGrid>
        <w:gridCol w:w="1795"/>
        <w:gridCol w:w="1571"/>
        <w:gridCol w:w="1583"/>
        <w:gridCol w:w="109"/>
        <w:gridCol w:w="109"/>
        <w:gridCol w:w="109"/>
        <w:gridCol w:w="277"/>
        <w:gridCol w:w="989"/>
        <w:gridCol w:w="143"/>
        <w:gridCol w:w="109"/>
        <w:gridCol w:w="109"/>
        <w:gridCol w:w="109"/>
        <w:gridCol w:w="343"/>
        <w:gridCol w:w="1222"/>
        <w:gridCol w:w="250"/>
      </w:tblGrid>
      <w:tr>
        <w:trPr/>
        <w:tc>
          <w:tcPr>
            <w:tcW w:w="1795"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547</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5,291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5,310 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6,833</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Investments in Equity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383</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1,058</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1,703</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17,184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payable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3,245</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1,903</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724</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6,903</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6,475</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598</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623</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Redeemable Preferred Securities of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Kimberly-Clark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1,914</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17,184</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17,098 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360"/>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(Millions)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10"/>
        <w:gridCol w:w="1992"/>
        <w:gridCol w:w="1998"/>
        <w:gridCol w:w="109"/>
        <w:gridCol w:w="109"/>
        <w:gridCol w:w="221"/>
        <w:gridCol w:w="221"/>
        <w:gridCol w:w="221"/>
        <w:gridCol w:w="221"/>
        <w:gridCol w:w="428"/>
        <w:gridCol w:w="977"/>
        <w:gridCol w:w="221"/>
        <w:gridCol w:w="109"/>
        <w:gridCol w:w="109"/>
        <w:gridCol w:w="109"/>
        <w:gridCol w:w="211"/>
        <w:gridCol w:w="481"/>
        <w:gridCol w:w="158"/>
      </w:tblGrid>
      <w:tr>
        <w:trPr/>
        <w:tc>
          <w:tcPr>
            <w:tcW w:w="2310"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177" w:type="dxa"/>
            <w:gridSpan w:val="6"/>
            <w:tcBorders/>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675</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losses on asset and business dispositions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companies' earnings (in excess of) less than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Provided by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745</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spending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and business dispositions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time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Maturities of time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Used for Investing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(355)</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short-term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313</w:t>
            </w: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repayments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Used for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(527)</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Change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(142)</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from continuing operations -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688</w:t>
            </w: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and cash equivalents from discontinued operations - beginning of period</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701</w:t>
            </w: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from continuing operations -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w:t>
            </w: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and cash equivalents from discontinued operations - end of period</w:t>
            </w:r>
            <w:r>
              <w:rPr>
                <w:rFonts w:ascii="Arial;sans-serif" w:hAnsi="Arial;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559</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Arial;sans-serif" w:hAnsi="Arial;sans-serif"/>
          <w:b w:val="false"/>
          <w:color w:val="000000"/>
          <w:sz w:val="16"/>
        </w:rPr>
        <w:t>(a)</w:t>
      </w:r>
      <w:r>
        <w:rPr>
          <w:color w:val="000000"/>
        </w:rPr>
        <w:t>    </w:t>
      </w:r>
      <w:r>
        <w:rPr>
          <w:rFonts w:ascii="Arial;sans-serif" w:hAnsi="Arial;sans-serif"/>
          <w:b w:val="false"/>
          <w:color w:val="000000"/>
          <w:sz w:val="16"/>
        </w:rPr>
        <w:t>Included in Current assets of discontinued operations.</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0.7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BUSINESS SEGMENT RESULTS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(Millions)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7683" w:type="dxa"/>
        <w:jc w:val="left"/>
        <w:tblInd w:w="0" w:type="dxa"/>
        <w:tblLayout w:type="fixed"/>
        <w:tblCellMar>
          <w:top w:w="28" w:type="dxa"/>
          <w:left w:w="28" w:type="dxa"/>
          <w:bottom w:w="28" w:type="dxa"/>
          <w:right w:w="28" w:type="dxa"/>
        </w:tblCellMar>
      </w:tblPr>
      <w:tblGrid>
        <w:gridCol w:w="960"/>
        <w:gridCol w:w="844"/>
        <w:gridCol w:w="851"/>
        <w:gridCol w:w="109"/>
        <w:gridCol w:w="109"/>
        <w:gridCol w:w="109"/>
        <w:gridCol w:w="252"/>
        <w:gridCol w:w="772"/>
        <w:gridCol w:w="130"/>
        <w:gridCol w:w="130"/>
        <w:gridCol w:w="130"/>
        <w:gridCol w:w="130"/>
        <w:gridCol w:w="252"/>
        <w:gridCol w:w="772"/>
        <w:gridCol w:w="130"/>
        <w:gridCol w:w="109"/>
        <w:gridCol w:w="109"/>
        <w:gridCol w:w="109"/>
        <w:gridCol w:w="269"/>
        <w:gridCol w:w="272"/>
        <w:gridCol w:w="436"/>
        <w:gridCol w:w="109"/>
        <w:gridCol w:w="109"/>
        <w:gridCol w:w="109"/>
        <w:gridCol w:w="109"/>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2,651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1,512</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4,163</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IPC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Segment Operating Profit</w:t>
            </w:r>
            <w:r>
              <w:rPr>
                <w:rFonts w:ascii="Arial;sans-serif" w:hAnsi="Arial;sans-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868</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 &amp; Other</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753</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(a)Segment Operating Profit is a non-GAAP financial measure as it excludes certain results included within Corporate &amp; Other, as discussed below. Refer to "Summary of Non-GAAP Financial Measures" below for further discussion of how we utilize non-GAAP financial measures. As shown above, we have included a reconciliation to Total Operating Profit, as determined in accordance with GAAP.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(b)Corporate &amp; Other includes income and expense not associated with the ongoing operations of the segments, including certain operations of the former IFP segment that were divested prior to the IFP Transaction and costs previously allocated to the former IFP segment that aren't reported as discontinued operations.</w:t>
      </w:r>
    </w:p>
    <w:p>
      <w:pPr>
        <w:pStyle w:val="TextBody"/>
        <w:bidi w:val="0"/>
        <w:spacing w:before="60" w:after="283"/>
        <w:ind w:left="0" w:right="0" w:hanging="270"/>
        <w:jc w:val="left"/>
        <w:rPr/>
      </w:pPr>
      <w:r>
        <w:rPr/>
      </w:r>
    </w:p>
    <w:p>
      <w:pPr>
        <w:pStyle w:val="TextBody"/>
        <w:bidi w:val="0"/>
        <w:spacing w:before="60" w:after="283"/>
        <w:jc w:val="left"/>
        <w:rPr/>
      </w:pPr>
      <w:r>
        <w:rPr/>
      </w:r>
    </w:p>
    <w:p>
      <w:pPr>
        <w:pStyle w:val="TextBody"/>
        <w:bidi w:val="0"/>
        <w:spacing w:before="0" w:after="0"/>
        <w:jc w:val="center"/>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SUMMARY OF NON-GAAP FINANCIAL MEASURES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The following provides the reconciliation of the non-GAAP financial measures provided in this press release to the most closely related GAAP measure. These measures include: Organic Sales Growth, Adjusted Gross Profit, Adjusted Operating Profit, Adjusted Earnings per Share from Continuing Operations, Adjusted Earnings per Share Attributable to Kimberly-Clark, Adjusted Effective Tax Rate, and Adjusted Income from Discontinued Operations. Unless specifically stated, all discussions regarding non-GAAP financial measures reflect results from our continuing operations for all periods presented.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Organic Sales Growth is defined as the change in Net Sales, as determined in accordance with U.S. GAAP, excluding the impacts of currency translation and divestitures and business exits.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Adjusted Gross and Operating Profit, Adjusted Earnings per Share from Continuing Operations, Adjusted Earnings per Share Attributable to Kimberly-Clark, Adjusted Effective Tax Rate, and Adjusted Income from Discontinued Operations are defined as Gross Profit, Operating Profit, Diluted Earnings per Share from Continuing Operations, Diluted Earnings per Share Attributable to Kimberly-Clark, Effective Tax Rate, and Income from Discontinued Operations, Net of Income Taxes, respectively, as determined in accordance with U.S. GAAP, excluding the impacts of certain items that management believes do not reflect our underlying operations, and which are discussed in further detail below.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The income tax effect of these non-GAAP items on the Company's Adjusted Earnings per Share from Continuing Operations, Adjusted Earnings per Share Attributable to Kimberly-Clark and Adjusted Income from Discontinued Operations is calculated based upon the tax laws and statutory income tax rates applicable in the tax jurisdiction(s) of the underlying non-GAAP adjustment. The impact of these non-GAAP items on the Company’s effective tax rate represents the difference in the effective tax rate calculated with and without the non-GAAP adjustment on pre-tax income and provision for income taxes.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U.S. GAAP financial measures and the reconciliation to those measures, provides investors with additional understanding of the factors and trends affecting our business than could be obtained absent these disclosures.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These non-GAAP financial measures are not meant to be considered in isolation or as a substitute for the comparable GAAP measures, and they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 Certain non-GAAP financial measures referenced in this press release are presented on a forward-looking basis. Kimberly-Clark does not provide a reconciliation of these forward-looking non-GAAP financial measures to the most directly comparable GAAP financial measures on a forward-looking basis because it is unable to predict certain adjustment items without unreasonable effort. Please note that these items could be material to Kimberly-Clark’s results calculated in accordance with GAAP.</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non-GAAP financial measures exclude the following items for the relevant time periods: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2024 Transformation Initiative - We initiated this transformation to create a more agile and focused operating structure that will accelerate our proprietary pipeline of innovation in right-to-win spaces and improve our growth trajectory, profitability, and returns on investment.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Kenvue Acquisition - Acquisition-related costs incurred in connection with the pending Kenvue Acquisition, primarily related to external advisory, legal, accounting, and other related costs.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Insurance Recovery – Settlement of insurance claims related to a previous acquisition.</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IFP Separation Costs - Costs incurred in connection with the IFP Transaction related to external advisory, legal, accounting, contractor and other incremental costs, and are reported in discontinued operations.</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 provides a reconciliation of Organic Sales Growth from continuing operations:</w:t>
      </w:r>
    </w:p>
    <w:tbl>
      <w:tblPr>
        <w:tblW w:w="6908" w:type="dxa"/>
        <w:jc w:val="left"/>
        <w:tblInd w:w="0" w:type="dxa"/>
        <w:tblLayout w:type="fixed"/>
        <w:tblCellMar>
          <w:top w:w="28" w:type="dxa"/>
          <w:left w:w="28" w:type="dxa"/>
          <w:bottom w:w="28" w:type="dxa"/>
          <w:right w:w="28" w:type="dxa"/>
        </w:tblCellMar>
      </w:tblPr>
      <w:tblGrid>
        <w:gridCol w:w="1053"/>
        <w:gridCol w:w="924"/>
        <w:gridCol w:w="932"/>
        <w:gridCol w:w="109"/>
        <w:gridCol w:w="109"/>
        <w:gridCol w:w="109"/>
        <w:gridCol w:w="248"/>
        <w:gridCol w:w="248"/>
        <w:gridCol w:w="232"/>
        <w:gridCol w:w="232"/>
        <w:gridCol w:w="232"/>
        <w:gridCol w:w="232"/>
        <w:gridCol w:w="248"/>
        <w:gridCol w:w="248"/>
        <w:gridCol w:w="232"/>
        <w:gridCol w:w="232"/>
        <w:gridCol w:w="232"/>
        <w:gridCol w:w="232"/>
        <w:gridCol w:w="248"/>
        <w:gridCol w:w="248"/>
        <w:gridCol w:w="328"/>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 2026</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 change vs. the prior year period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IPC</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(0.6)</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 and Business Exits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Organic Sales Growth</w:t>
            </w:r>
            <w:r>
              <w:rPr>
                <w:rFonts w:ascii="Arial;sans-serif" w:hAnsi="Arial;sans-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    Table may not foot due to rounding.</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 provides a reconciliation of Adjusted Gross Profit from continuing operations:</w:t>
      </w:r>
    </w:p>
    <w:tbl>
      <w:tblPr>
        <w:tblW w:w="6206" w:type="dxa"/>
        <w:jc w:val="left"/>
        <w:tblInd w:w="0" w:type="dxa"/>
        <w:tblLayout w:type="fixed"/>
        <w:tblCellMar>
          <w:top w:w="28" w:type="dxa"/>
          <w:left w:w="28" w:type="dxa"/>
          <w:bottom w:w="28" w:type="dxa"/>
          <w:right w:w="28" w:type="dxa"/>
        </w:tblCellMar>
      </w:tblPr>
      <w:tblGrid>
        <w:gridCol w:w="977"/>
        <w:gridCol w:w="858"/>
        <w:gridCol w:w="865"/>
        <w:gridCol w:w="109"/>
        <w:gridCol w:w="109"/>
        <w:gridCol w:w="109"/>
        <w:gridCol w:w="252"/>
        <w:gridCol w:w="772"/>
        <w:gridCol w:w="130"/>
        <w:gridCol w:w="130"/>
        <w:gridCol w:w="130"/>
        <w:gridCol w:w="130"/>
        <w:gridCol w:w="252"/>
        <w:gridCol w:w="772"/>
        <w:gridCol w:w="130"/>
        <w:gridCol w:w="109"/>
        <w:gridCol w:w="10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1,534</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1,576</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 provides a reconciliation of Adjusted Operating Profit from continuing operations:</w:t>
      </w:r>
    </w:p>
    <w:tbl>
      <w:tblPr>
        <w:tblW w:w="6203" w:type="dxa"/>
        <w:jc w:val="left"/>
        <w:tblInd w:w="0" w:type="dxa"/>
        <w:tblLayout w:type="fixed"/>
        <w:tblCellMar>
          <w:top w:w="28" w:type="dxa"/>
          <w:left w:w="28" w:type="dxa"/>
          <w:bottom w:w="28" w:type="dxa"/>
          <w:right w:w="28" w:type="dxa"/>
        </w:tblCellMar>
      </w:tblPr>
      <w:tblGrid>
        <w:gridCol w:w="977"/>
        <w:gridCol w:w="859"/>
        <w:gridCol w:w="863"/>
        <w:gridCol w:w="109"/>
        <w:gridCol w:w="109"/>
        <w:gridCol w:w="109"/>
        <w:gridCol w:w="295"/>
        <w:gridCol w:w="673"/>
        <w:gridCol w:w="152"/>
        <w:gridCol w:w="152"/>
        <w:gridCol w:w="152"/>
        <w:gridCol w:w="152"/>
        <w:gridCol w:w="295"/>
        <w:gridCol w:w="673"/>
        <w:gridCol w:w="152"/>
        <w:gridCol w:w="109"/>
        <w:gridCol w:w="10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753</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732</w:t>
            </w: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 provides a reconciliation of Adjusted Earnings per Share from Continuing Operations:</w:t>
      </w:r>
    </w:p>
    <w:tbl>
      <w:tblPr>
        <w:tblW w:w="9144" w:type="dxa"/>
        <w:jc w:val="left"/>
        <w:tblInd w:w="0" w:type="dxa"/>
        <w:tblLayout w:type="fixed"/>
        <w:tblCellMar>
          <w:top w:w="28" w:type="dxa"/>
          <w:left w:w="28" w:type="dxa"/>
          <w:bottom w:w="28" w:type="dxa"/>
          <w:right w:w="28" w:type="dxa"/>
        </w:tblCellMar>
      </w:tblPr>
      <w:tblGrid>
        <w:gridCol w:w="2044"/>
        <w:gridCol w:w="1795"/>
        <w:gridCol w:w="1800"/>
        <w:gridCol w:w="109"/>
        <w:gridCol w:w="109"/>
        <w:gridCol w:w="109"/>
        <w:gridCol w:w="278"/>
        <w:gridCol w:w="713"/>
        <w:gridCol w:w="143"/>
        <w:gridCol w:w="143"/>
        <w:gridCol w:w="143"/>
        <w:gridCol w:w="143"/>
        <w:gridCol w:w="278"/>
        <w:gridCol w:w="713"/>
        <w:gridCol w:w="143"/>
        <w:gridCol w:w="109"/>
        <w:gridCol w:w="109"/>
        <w:gridCol w:w="109"/>
        <w:gridCol w:w="154"/>
      </w:tblGrid>
      <w:tr>
        <w:trPr/>
        <w:tc>
          <w:tcPr>
            <w:tcW w:w="2044"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0.09</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0.13</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Earnings per Share from Continuing Operations</w:t>
            </w:r>
            <w:r>
              <w:rPr>
                <w:rFonts w:ascii="Arial;sans-serif" w:hAnsi="Arial;sans-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(a)    The non-GAAP adjustments included above are presented net of tax. The income tax effect of these non-GAAP items is calculated based upon the tax laws and statutory income tax rates applicable in the tax jurisdiction(s) of the underlying non-GAAP adjustment. Refer to the Adjusted Effective Tax Rate reconciliation below for the tax effect of these adjustments on the Company's reported provision for income taxes.</w: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9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 provides a reconciliation of Adjusted Earnings per Share Attributable to Kimberly-Clark:</w:t>
      </w:r>
    </w:p>
    <w:tbl>
      <w:tblPr>
        <w:tblW w:w="9129" w:type="dxa"/>
        <w:jc w:val="left"/>
        <w:tblInd w:w="0" w:type="dxa"/>
        <w:tblLayout w:type="fixed"/>
        <w:tblCellMar>
          <w:top w:w="28" w:type="dxa"/>
          <w:left w:w="28" w:type="dxa"/>
          <w:bottom w:w="28" w:type="dxa"/>
          <w:right w:w="28" w:type="dxa"/>
        </w:tblCellMar>
      </w:tblPr>
      <w:tblGrid>
        <w:gridCol w:w="2039"/>
        <w:gridCol w:w="1791"/>
        <w:gridCol w:w="1794"/>
        <w:gridCol w:w="109"/>
        <w:gridCol w:w="109"/>
        <w:gridCol w:w="109"/>
        <w:gridCol w:w="278"/>
        <w:gridCol w:w="713"/>
        <w:gridCol w:w="143"/>
        <w:gridCol w:w="143"/>
        <w:gridCol w:w="143"/>
        <w:gridCol w:w="143"/>
        <w:gridCol w:w="278"/>
        <w:gridCol w:w="713"/>
        <w:gridCol w:w="143"/>
        <w:gridCol w:w="109"/>
        <w:gridCol w:w="109"/>
        <w:gridCol w:w="109"/>
        <w:gridCol w:w="154"/>
      </w:tblGrid>
      <w:tr>
        <w:trPr/>
        <w:tc>
          <w:tcPr>
            <w:tcW w:w="203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 Attributable to Kimberly-Clark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0.09</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0.13</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Separation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Earnings per Share Attributable to Kimberly-Clark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Arial;sans-serif" w:hAnsi="Arial;sans-serif"/>
          <w:b w:val="false"/>
          <w:color w:val="000000"/>
          <w:sz w:val="20"/>
        </w:rPr>
      </w:pPr>
      <w:r>
        <w:rPr>
          <w:rFonts w:ascii="Arial;sans-serif" w:hAnsi="Arial;sans-serif"/>
          <w:b w:val="false"/>
          <w:color w:val="000000"/>
          <w:sz w:val="20"/>
        </w:rPr>
        <w:t>The following table provides a reconciliation of the continuing operations Adjusted Effective Tax Rate:</w:t>
      </w:r>
    </w:p>
    <w:tbl>
      <w:tblPr>
        <w:tblW w:w="10205" w:type="dxa"/>
        <w:jc w:val="left"/>
        <w:tblInd w:w="0" w:type="dxa"/>
        <w:tblLayout w:type="fixed"/>
        <w:tblCellMar>
          <w:top w:w="28" w:type="dxa"/>
          <w:left w:w="28" w:type="dxa"/>
          <w:bottom w:w="28" w:type="dxa"/>
          <w:right w:w="28" w:type="dxa"/>
        </w:tblCellMar>
      </w:tblPr>
      <w:tblGrid>
        <w:gridCol w:w="602"/>
        <w:gridCol w:w="529"/>
        <w:gridCol w:w="532"/>
        <w:gridCol w:w="109"/>
        <w:gridCol w:w="109"/>
        <w:gridCol w:w="109"/>
        <w:gridCol w:w="557"/>
        <w:gridCol w:w="1274"/>
        <w:gridCol w:w="290"/>
        <w:gridCol w:w="109"/>
        <w:gridCol w:w="109"/>
        <w:gridCol w:w="109"/>
        <w:gridCol w:w="264"/>
        <w:gridCol w:w="629"/>
        <w:gridCol w:w="358"/>
        <w:gridCol w:w="109"/>
        <w:gridCol w:w="109"/>
        <w:gridCol w:w="109"/>
        <w:gridCol w:w="557"/>
        <w:gridCol w:w="1274"/>
        <w:gridCol w:w="290"/>
        <w:gridCol w:w="109"/>
        <w:gridCol w:w="109"/>
        <w:gridCol w:w="109"/>
        <w:gridCol w:w="264"/>
        <w:gridCol w:w="629"/>
        <w:gridCol w:w="358"/>
        <w:gridCol w:w="109"/>
        <w:gridCol w:w="109"/>
        <w:gridCol w:w="109"/>
        <w:gridCol w:w="163"/>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Continuing Operations Before Income Taxes and Equity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Continuing Operations Before Income Taxes and Equity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685</w:t>
            </w: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(164)</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Transformation Initiative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w:t>
            </w: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Kenvue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664</w:t>
            </w: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(174)</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23.9</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26.2</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left"/>
        <w:rPr/>
      </w:pPr>
      <w:r>
        <w:rPr/>
      </w:r>
    </w:p>
    <w:p>
      <w:pPr>
        <w:pStyle w:val="TextBody"/>
        <w:bidi w:val="0"/>
        <w:spacing w:lineRule="auto" w:line="288" w:before="180" w:after="60"/>
        <w:ind w:left="0" w:right="0" w:hanging="360"/>
        <w:jc w:val="both"/>
        <w:rPr>
          <w:rFonts w:ascii="Arial;sans-serif" w:hAnsi="Arial;sans-serif"/>
          <w:b w:val="false"/>
          <w:color w:val="000000"/>
          <w:sz w:val="20"/>
        </w:rPr>
      </w:pPr>
      <w:r>
        <w:rPr>
          <w:rFonts w:ascii="Arial;sans-serif" w:hAnsi="Arial;sans-serif"/>
          <w:b w:val="false"/>
          <w:color w:val="000000"/>
          <w:sz w:val="20"/>
        </w:rPr>
        <w:t xml:space="preserve">The following table provides a reconciliation of Adjusted Income from Discontinued Operations: </w:t>
      </w:r>
    </w:p>
    <w:tbl>
      <w:tblPr>
        <w:tblW w:w="9189" w:type="dxa"/>
        <w:jc w:val="left"/>
        <w:tblInd w:w="0" w:type="dxa"/>
        <w:tblLayout w:type="fixed"/>
        <w:tblCellMar>
          <w:top w:w="28" w:type="dxa"/>
          <w:left w:w="28" w:type="dxa"/>
          <w:bottom w:w="28" w:type="dxa"/>
          <w:right w:w="28" w:type="dxa"/>
        </w:tblCellMar>
      </w:tblPr>
      <w:tblGrid>
        <w:gridCol w:w="2058"/>
        <w:gridCol w:w="1809"/>
        <w:gridCol w:w="1818"/>
        <w:gridCol w:w="109"/>
        <w:gridCol w:w="109"/>
        <w:gridCol w:w="109"/>
        <w:gridCol w:w="295"/>
        <w:gridCol w:w="673"/>
        <w:gridCol w:w="152"/>
        <w:gridCol w:w="152"/>
        <w:gridCol w:w="152"/>
        <w:gridCol w:w="152"/>
        <w:gridCol w:w="295"/>
        <w:gridCol w:w="673"/>
        <w:gridCol w:w="152"/>
        <w:gridCol w:w="109"/>
        <w:gridCol w:w="109"/>
        <w:gridCol w:w="109"/>
        <w:gridCol w:w="154"/>
      </w:tblGrid>
      <w:tr>
        <w:trPr/>
        <w:tc>
          <w:tcPr>
            <w:tcW w:w="205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Discontinued Operations, 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IFP Separation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Effect</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Income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16"/>
        </w:rPr>
      </w:pPr>
      <w:r>
        <w:rPr>
          <w:rFonts w:ascii="Arial;sans-serif" w:hAnsi="Arial;sans-serif"/>
          <w:b w:val="false"/>
          <w:color w:val="000000"/>
          <w:sz w:val="16"/>
        </w:rPr>
        <w:t>(a)    The income tax effect of this non-GAAP item is calculated based upon the tax laws and statutory income tax rates applicable in the tax jurisdiction(s) of the non-GAAP adjustment.</w:t>
      </w:r>
    </w:p>
    <w:p>
      <w:pPr>
        <w:pStyle w:val="TextBody"/>
        <w:bidi w:val="0"/>
        <w:spacing w:before="180" w:after="283"/>
        <w:jc w:val="left"/>
        <w:rPr/>
      </w:pPr>
      <w:r>
        <w:rPr/>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Investor Relations contact: Christopher Jakubik, CFA, KC.InvestorRelations@kcc.com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 Relations contact: Kyrsten Aspegren, media.relations@kcc.com</w:t>
      </w:r>
    </w:p>
    <w:p>
      <w:pPr>
        <w:pStyle w:val="TextBody"/>
        <w:bidi w:val="0"/>
        <w:spacing w:before="0" w:after="0"/>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[KMB-F]</w:t>
      </w:r>
    </w:p>
    <w:p>
      <w:pPr>
        <w:pStyle w:val="TextBody"/>
        <w:bidi w:val="0"/>
        <w:spacing w:lineRule="auto" w:line="288"/>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5148</Words>
  <Characters>29307</Characters>
  <CharactersWithSpaces>33976</CharactersWithSpaces>
  <Paragraphs>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