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r>
        <w:rPr>
          <w:rFonts w:ascii="Times New Roman" w:cs="Times New Roman" w:eastAsia="Times New Roman" w:hAnsi="Times New Roman"/>
          <w:sz w:val="18"/>
          <w:szCs w:val="18"/>
          <w:b w:val="1"/>
          <w:bCs w:val="1"/>
          <w:color w:val="auto"/>
        </w:rPr>
        <w:t>: October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KIMBERLY-CLARK CORPORATION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0" w:lineRule="exact"/>
        <w:rPr>
          <w:sz w:val="24"/>
          <w:szCs w:val="24"/>
          <w:color w:val="auto"/>
        </w:rPr>
      </w:pPr>
    </w:p>
    <w:tbl>
      <w:tblPr>
        <w:tblLayout w:type="fixed"/>
        <w:tblInd w:w="590" w:type="dxa"/>
        <w:tblCellMar>
          <w:top w:w="0" w:type="dxa"/>
          <w:left w:w="0" w:type="dxa"/>
          <w:bottom w:w="0" w:type="dxa"/>
          <w:right w:w="0" w:type="dxa"/>
        </w:tblCellMar>
      </w:tblPr>
      <w:tr>
        <w:trPr>
          <w:trHeight w:val="229"/>
        </w:trPr>
        <w:tc>
          <w:tcPr>
            <w:tcW w:w="2960" w:type="dxa"/>
            <w:vAlign w:val="bottom"/>
            <w:tcBorders>
              <w:top w:val="single" w:sz="8" w:color="auto"/>
              <w:left w:val="single" w:sz="8" w:color="auto"/>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0" w:type="dxa"/>
            <w:vAlign w:val="bottom"/>
            <w:tcBorders>
              <w:top w:val="single" w:sz="8" w:color="auto"/>
              <w:bottom w:val="single" w:sz="8" w:color="auto"/>
              <w:right w:val="single" w:sz="8" w:color="auto"/>
            </w:tcBorders>
          </w:tcPr>
          <w:p>
            <w:pPr>
              <w:spacing w:after="0"/>
              <w:rPr>
                <w:sz w:val="19"/>
                <w:szCs w:val="19"/>
                <w:color w:val="auto"/>
              </w:rPr>
            </w:pPr>
          </w:p>
        </w:tc>
        <w:tc>
          <w:tcPr>
            <w:tcW w:w="3340" w:type="dxa"/>
            <w:vAlign w:val="bottom"/>
            <w:tcBorders>
              <w:top w:val="single" w:sz="8" w:color="auto"/>
              <w:bottom w:val="single" w:sz="8" w:color="auto"/>
              <w:right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1-225</w:t>
            </w:r>
          </w:p>
        </w:tc>
        <w:tc>
          <w:tcPr>
            <w:tcW w:w="340" w:type="dxa"/>
            <w:vAlign w:val="bottom"/>
            <w:tcBorders>
              <w:top w:val="single" w:sz="8" w:color="auto"/>
              <w:bottom w:val="single" w:sz="8" w:color="auto"/>
            </w:tcBorders>
          </w:tcPr>
          <w:p>
            <w:pPr>
              <w:spacing w:after="0"/>
              <w:rPr>
                <w:sz w:val="19"/>
                <w:szCs w:val="19"/>
                <w:color w:val="auto"/>
              </w:rPr>
            </w:pPr>
          </w:p>
        </w:tc>
        <w:tc>
          <w:tcPr>
            <w:tcW w:w="2980" w:type="dxa"/>
            <w:vAlign w:val="bottom"/>
            <w:tcBorders>
              <w:top w:val="single" w:sz="8" w:color="auto"/>
              <w:bottom w:val="single" w:sz="8" w:color="auto"/>
              <w:right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39-0394230</w:t>
            </w:r>
          </w:p>
        </w:tc>
      </w:tr>
      <w:tr>
        <w:trPr>
          <w:trHeight w:val="191"/>
        </w:trPr>
        <w:tc>
          <w:tcPr>
            <w:tcW w:w="2960" w:type="dxa"/>
            <w:vAlign w:val="bottom"/>
            <w:tcBorders>
              <w:left w:val="single" w:sz="8" w:color="auto"/>
            </w:tcBorders>
          </w:tcPr>
          <w:p>
            <w:pPr>
              <w:jc w:val="center"/>
              <w:ind w:left="39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80" w:type="dxa"/>
            <w:vAlign w:val="bottom"/>
            <w:tcBorders>
              <w:right w:val="single" w:sz="8" w:color="auto"/>
            </w:tcBorders>
          </w:tcPr>
          <w:p>
            <w:pPr>
              <w:spacing w:after="0"/>
              <w:rPr>
                <w:sz w:val="16"/>
                <w:szCs w:val="16"/>
                <w:color w:val="auto"/>
              </w:rPr>
            </w:pPr>
          </w:p>
        </w:tc>
        <w:tc>
          <w:tcPr>
            <w:tcW w:w="33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340" w:type="dxa"/>
            <w:vAlign w:val="bottom"/>
          </w:tcPr>
          <w:p>
            <w:pPr>
              <w:spacing w:after="0"/>
              <w:rPr>
                <w:sz w:val="16"/>
                <w:szCs w:val="16"/>
                <w:color w:val="auto"/>
              </w:rPr>
            </w:pPr>
          </w:p>
        </w:tc>
        <w:tc>
          <w:tcPr>
            <w:tcW w:w="2980" w:type="dxa"/>
            <w:vAlign w:val="bottom"/>
            <w:tcBorders>
              <w:right w:val="single" w:sz="8" w:color="auto"/>
            </w:tcBorders>
          </w:tcPr>
          <w:p>
            <w:pPr>
              <w:jc w:val="center"/>
              <w:ind w:right="290"/>
              <w:spacing w:after="0" w:line="191" w:lineRule="exact"/>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2960" w:type="dxa"/>
            <w:vAlign w:val="bottom"/>
            <w:tcBorders>
              <w:left w:val="single" w:sz="8" w:color="auto"/>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rPr>
              <w:t>incorporation)</w:t>
            </w:r>
          </w:p>
        </w:tc>
        <w:tc>
          <w:tcPr>
            <w:tcW w:w="480" w:type="dxa"/>
            <w:vAlign w:val="bottom"/>
            <w:tcBorders>
              <w:bottom w:val="single" w:sz="8" w:color="auto"/>
              <w:right w:val="single" w:sz="8" w:color="auto"/>
            </w:tcBorders>
          </w:tcPr>
          <w:p>
            <w:pPr>
              <w:spacing w:after="0"/>
              <w:rPr>
                <w:sz w:val="20"/>
                <w:szCs w:val="20"/>
                <w:color w:val="auto"/>
              </w:rPr>
            </w:pPr>
          </w:p>
        </w:tc>
        <w:tc>
          <w:tcPr>
            <w:tcW w:w="334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80" w:type="dxa"/>
            <w:vAlign w:val="bottom"/>
            <w:tcBorders>
              <w:bottom w:val="single" w:sz="8" w:color="auto"/>
              <w:right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8"/>
              </w:rPr>
              <w:t>No.)</w:t>
            </w:r>
          </w:p>
        </w:tc>
      </w:tr>
      <w:tr>
        <w:trPr>
          <w:trHeight w:val="390"/>
        </w:trPr>
        <w:tc>
          <w:tcPr>
            <w:tcW w:w="2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P.O. Box 619100</w:t>
            </w:r>
          </w:p>
        </w:tc>
        <w:tc>
          <w:tcPr>
            <w:tcW w:w="298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Dallas, Texas 75261-9100</w:t>
            </w:r>
          </w:p>
        </w:tc>
        <w:tc>
          <w:tcPr>
            <w:tcW w:w="298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2980" w:type="dxa"/>
            <w:vAlign w:val="bottom"/>
          </w:tcPr>
          <w:p>
            <w:pPr>
              <w:spacing w:after="0"/>
              <w:rPr>
                <w:sz w:val="20"/>
                <w:szCs w:val="20"/>
                <w:color w:val="auto"/>
              </w:rPr>
            </w:pPr>
          </w:p>
        </w:tc>
      </w:tr>
    </w:tbl>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(972) 281-1200</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(Registrant’s telephone number, including area code)</w:t>
      </w:r>
    </w:p>
    <w:p>
      <w:pPr>
        <w:spacing w:after="0" w:line="21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580" w:hanging="39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80" w:hanging="39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39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20" w:firstLine="188"/>
        <w:spacing w:after="0" w:line="542" w:lineRule="auto"/>
        <w:tabs>
          <w:tab w:leader="none" w:pos="56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90" w:type="dxa"/>
        <w:tblCellMar>
          <w:top w:w="0" w:type="dxa"/>
          <w:left w:w="0" w:type="dxa"/>
          <w:bottom w:w="0" w:type="dxa"/>
          <w:right w:w="0" w:type="dxa"/>
        </w:tblCellMar>
      </w:tblPr>
      <w:tr>
        <w:trPr>
          <w:trHeight w:val="189"/>
        </w:trPr>
        <w:tc>
          <w:tcPr>
            <w:tcW w:w="3440" w:type="dxa"/>
            <w:vAlign w:val="bottom"/>
            <w:tcBorders>
              <w:top w:val="single" w:sz="8" w:color="auto"/>
              <w:left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Title of each class</w:t>
            </w:r>
          </w:p>
        </w:tc>
        <w:tc>
          <w:tcPr>
            <w:tcW w:w="334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2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440" w:type="dxa"/>
            <w:vAlign w:val="bottom"/>
            <w:tcBorders>
              <w:left w:val="single" w:sz="8" w:color="auto"/>
              <w:bottom w:val="single" w:sz="8" w:color="auto"/>
              <w:right w:val="single" w:sz="8" w:color="auto"/>
            </w:tcBorders>
          </w:tcPr>
          <w:p>
            <w:pPr>
              <w:spacing w:after="0"/>
              <w:rPr>
                <w:sz w:val="20"/>
                <w:szCs w:val="20"/>
                <w:color w:val="auto"/>
              </w:rPr>
            </w:pPr>
          </w:p>
        </w:tc>
        <w:tc>
          <w:tcPr>
            <w:tcW w:w="3340" w:type="dxa"/>
            <w:vAlign w:val="bottom"/>
            <w:tcBorders>
              <w:bottom w:val="single" w:sz="8" w:color="auto"/>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09"/>
        </w:trPr>
        <w:tc>
          <w:tcPr>
            <w:tcW w:w="3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$1.25 Par Value</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KMB</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Offering</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On October 29, 2026, Kimberly-Clark Corporation (the “Corporation”) completed the previously announced sale of $4.9 billion aggregate principal amount of its senior unsecured notes, consisting of: (i)$750,000,000 aggregate principal amount of 5.100% Notes due 2028 (the “2028 Notes”),</w:t>
      </w:r>
    </w:p>
    <w:p>
      <w:pPr>
        <w:ind w:right="80" w:firstLine="8"/>
        <w:spacing w:after="0" w:line="253"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aggregate principal amount of 5.300% Notes due 2029 (the “2029 Notes”), (iii) $1,250,000,000 aggregate principal amount of 5.450% Notes due 2031 (the “2031 Notes”), (iv) $750,000,000 aggregate principal amount of 5.650% Notes due 2034 (the “2034 Notes”) and (v) $1,150,000,000 aggregate principal amount of 5.800% Notes due 2036 (the “2036 Notes” and, collectively with the 2028 Notes, the 2029 Notes, the 2031 Notes and the 2034 Notes, the “Notes”) in a private offering (the “Offering”) that is exempt from registration under the Securities Act of 1933, as amended (the “Securities Act”).</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Notes were issued under the First Amended and Restated Indenture (as amended by the first, second and eighth supplemental indentures dated as of November 6, 1992, May 25, 1994 and October 27, 2021, respectively, the “Base Indenture”), dated as of March 1, 1988, by and among the Corporation and The Bank of New York Mellon Trust Company, N.A. (as successor in interest to The First National Bank of Chicago) as trustee (originally executed with Bank of America National Trust and Savings Association) and the Eleventh Supplemental Indenture, dated as of October 29, 2026 (the “Eleventh Supplemental Indenture” and the Base Indenture as supplemented by the Eleventh Supplemental Indenture, the “Indenture”)), by and among the Corporation and U.S. Bank Trust Company, National Association, as successor trustee under the Indenture in respect to the Notes.</w:t>
      </w:r>
    </w:p>
    <w:p>
      <w:pPr>
        <w:spacing w:after="0" w:line="18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Notes are the Corporation’s general, unsecured senior obligations, and rank equally in right of payment with all of the Corporation’s existing and future unsecured senior indebtedness, liabilities and other obligations, including the Corporation’s existing senior notes.</w:t>
      </w:r>
    </w:p>
    <w:p>
      <w:pPr>
        <w:spacing w:after="0" w:line="1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Offering was conducted in connection with the Corporation’s previously announced proposed acquisition (“Acquisition”) of Kenvue Inc. (“Kenvue”). The Corporation intends to use the net proceeds from the Offering, together with cash on hand and/or borrowings under its commercial paper program, to fund the cash consideration payable in connection with the Acquisition, and to pay related fees and expenses. The Corporation expects to use any remaining net proceeds from the Offering for general corporate purposes.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Maturity</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2028 Notes bear interest at a rate of 5.100% per annum and will mature on October 29, 2028. The 2029 Notes bear interest at a rate of 5.300% per annum and will mature on October 29, 2029. The 2031 Notes bear interest at a rate of 5.450% per annum and will mature on October 29, 2031. The 2034 Notes bear interest at a rate of 5.650% per annum and will mature on January 29, 2034. The 2036 Notes bear interest at a rate of 5.800% per annum and will mature on October 29, 2036. Interest on the 2028 Notes, the 2029 Notes, the 2031 Notes and the 2036 Notes will be payable on April 29 and October 29 of each year, commencing April 29, 2027. Interest on the 2034 Notes will be payable on January 29 and July 29 of each year, commencing January 29, 2027.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Optional and Special Mandatory Redemption</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Corporation may redeem the Notes at its option, in whole or in part, at any time and from time to time, at the redemption prices and on the terms and conditions set forth in the Indenture. In addition, if (i) the Acquisition has not been consummated prior to the date that is five business days after the later of (x) May 31, 2027 or (y) any later date as the parties to the Acquisition agreement may agree as the “Outside Date” thereunder or (ii) the Corporation notifies the trustee for the Notes that the Corporation will not pursue the consummation of the Acquisition, then the Corporation will be required to redeem all outstanding Notes at a special mandatory redemption price equal to 101% of the aggregate principal amount of the Notes, plus accrued and unpaid interest, if any, to, but not including, the applicable special mandatory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Kenvue Guarantees</w:t>
      </w:r>
    </w:p>
    <w:p>
      <w:pPr>
        <w:spacing w:after="0" w:line="227"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7"/>
          <w:szCs w:val="17"/>
          <w:color w:val="auto"/>
        </w:rPr>
        <w:t>As previously reported, in connection with the Acquisition, on September 28, 2026, the Corporation commenced an offer to exchange all of Kenvue’s existing senior notes in exchange for new senior notes to be issued by the Corporation (the “Exchange Offers”) pursuant to a confidential offering memorandum and consent solicitation statement. If (i) the Exchange Offers are withdrawn (but the Acquisition has been consummated and the Notes are issued and outstanding) or (ii) if the Acquisition is consummated, the Notes are issued and outstanding and the Exchange Offers are not completed within four (4) business days after the expiration date of the Exchange Offers (as may be extended pursuant to the terms described in the offering memorandum and consent solicitation statement), the Notes will be fully and unconditionally guaranteed (the “Kenvue Guarantees”), on an unsubordinated unsecured basis, by Kenvue (or its successor, as applicable). This Current Report on Form 8-K does not constitute an offer to exchange with respect to the Exchange Offers and shall not constitute an offer, solicitation or sale in any jurisdiction in which such offer, solicitation or sale would be unlawful.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 and Events of Default</w:t>
      </w:r>
    </w:p>
    <w:p>
      <w:pPr>
        <w:spacing w:after="0" w:line="22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Indenture contains covenants that, among other things, limit the ability of the Corporation and its restricted subsidiaries to issue, assume or guarantee specified secured debt, enter into sale and leaseback transactions with respect to any principal properties and consolidate with, merge into, or sell or transfer all or substantially all of its property and assets to, any other corporation. The Indenture also provides for customary events of default.</w:t>
      </w:r>
    </w:p>
    <w:p>
      <w:pPr>
        <w:spacing w:after="0" w:line="17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Notes, the Kenvue Guarantees, the Indenture and the Eleventh Supplemental Indenture are summaries and are qualified in their entirety by reference to such documents, which are attached as Exhibits 4.1, 4.2, 4.3, 4.4, 4.5, 4.6 and 4.7 to this Current Report on Form 8-K, respectively,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October 29, 2026, in connection with the completion of the Offering, the Corporation and J.P. Morgan Securities LLC, Citigroup Global Markets Inc. and Morgan Stanley &amp; Co. LLC, as representatives of the initial purchasers of the Notes, entered into a registration rights agreement with respect to the Notes (the “Registration Rights Agreement”). The Corporation agreed under the Registration Rights Agreement to, among other things, use its commercially reasonable efforts to (i) file a registration statement on an appropriate registration form with respect to a registered offer to exchange the Notes for new notes, with terms substantially identical in all material respects to the Notes (except that the new Notes will not contain terms with respect to transfer restrictions and additional interest (as described below)), (ii) cause such registration statement to be declared effective under the Securities Act and</w:t>
      </w:r>
    </w:p>
    <w:p>
      <w:pPr>
        <w:spacing w:after="0" w:line="5" w:lineRule="exact"/>
        <w:rPr>
          <w:sz w:val="20"/>
          <w:szCs w:val="20"/>
          <w:color w:val="auto"/>
        </w:rPr>
      </w:pPr>
    </w:p>
    <w:p>
      <w:pPr>
        <w:ind w:firstLine="8"/>
        <w:spacing w:after="0" w:line="251"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registered exchange offer within 365 days after the closing of the Acquisition. In addition, the Corporation has agreed to use commercially reasonable efforts to file, under certain circumstances, a shelf registration statement to cover resales of the Notes under the Securities Act. The Corporation shall be obligated to pay additional interest on the Notes if (A) the Corporation has not consummated the exchange offer within 365 days after the closing of the Acquisition, or, if a shelf registration statement is required and has not been declared effective under the Securities Act, on or prior to the later of (i) 365 days after the closing of the Acquisition and (ii) 365 days after the date, if any, on which the Corporation became obligated to have the shelf registration statement declared effective under the Securities Act pursuant to the Registration Rights Agreement; or (B) if applicable, a shelf registration statement covering resales of the Notes has been declared effective and such shelf registration statement ceases to be effective at any time during the effectiveness period (subject to certain exceptions) and such failure to remain effective exists for more than 90 days (whether or not consecutive) in any 12-month period during the effectiveness period.</w:t>
      </w:r>
    </w:p>
    <w:p>
      <w:pPr>
        <w:spacing w:after="0" w:line="193"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is a summary and is qualified in its entirety by reference to such document, which is attached as Exhibit 10.1 to this Current Report on Form 8-K and incorporated herein by reference.</w:t>
      </w:r>
    </w:p>
    <w:p>
      <w:pPr>
        <w:spacing w:after="0" w:line="158" w:lineRule="exact"/>
        <w:rPr>
          <w:sz w:val="20"/>
          <w:szCs w:val="20"/>
          <w:color w:val="auto"/>
        </w:rPr>
      </w:pPr>
    </w:p>
    <w:p>
      <w:pPr>
        <w:jc w:val="center"/>
        <w:ind w:right="114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by reference into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As previously reported, on November 2, 2025, the Corporation and JPMorgan Chase Bank, N.A. (the “Bank”) executed that certain bridge loan facility commitment letter (the “Debt Commitment Letter”), pursuant to which the Bank has committed to provide bridge financing in an amount of $7.7 billion to the Corporation to fund the cash consideration and to pay fees and expenses related to the Acquisition, on the terms and conditions set forth therein.</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December 9, 2025, $3.8 billion of the commitments made pursuant to the Debt Commitment Letter were terminated in connection with entry into (i) the Five-Year Revolving Credit Agreement by and among the Corporation, the Bank and the other lenders party thereto and (ii) the Delayed Draw Term Loan Credit Agreement by and among the Corporation, the Bank, and the other lenders party thereto. On October 29, 2026, the remaining $3.9 billion of the commitments outstanding under the Debt Commitment Letter were terminated as a result of the Corporation receiving net cash proceeds from the issuance of the Notes.</w:t>
      </w:r>
    </w:p>
    <w:p>
      <w:pPr>
        <w:spacing w:after="0" w:line="17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120" w:type="dxa"/>
            <w:vAlign w:val="bottom"/>
            <w:tcBorders>
              <w:top w:val="single" w:sz="8" w:color="auto"/>
              <w:left w:val="single" w:sz="8" w:color="auto"/>
              <w:bottom w:val="single" w:sz="8" w:color="auto"/>
            </w:tcBorders>
          </w:tcPr>
          <w:p>
            <w:pPr>
              <w:spacing w:after="0"/>
              <w:rPr>
                <w:sz w:val="22"/>
                <w:szCs w:val="22"/>
                <w:color w:val="auto"/>
              </w:rPr>
            </w:pPr>
          </w:p>
        </w:tc>
        <w:tc>
          <w:tcPr>
            <w:tcW w:w="2380" w:type="dxa"/>
            <w:vAlign w:val="bottom"/>
            <w:tcBorders>
              <w:top w:val="single" w:sz="8" w:color="auto"/>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0" w:type="dxa"/>
            <w:vAlign w:val="bottom"/>
            <w:tcBorders>
              <w:top w:val="single" w:sz="8" w:color="auto"/>
              <w:bottom w:val="single" w:sz="8" w:color="auto"/>
            </w:tcBorders>
          </w:tcPr>
          <w:p>
            <w:pPr>
              <w:spacing w:after="0"/>
              <w:rPr>
                <w:sz w:val="22"/>
                <w:szCs w:val="22"/>
                <w:color w:val="auto"/>
              </w:rPr>
            </w:pPr>
          </w:p>
        </w:tc>
        <w:tc>
          <w:tcPr>
            <w:tcW w:w="8660" w:type="dxa"/>
            <w:vAlign w:val="bottom"/>
            <w:tcBorders>
              <w:top w:val="single" w:sz="8" w:color="auto"/>
              <w:bottom w:val="single" w:sz="8" w:color="auto"/>
              <w:right w:val="single" w:sz="8" w:color="auto"/>
            </w:tcBorders>
            <w:gridSpan w:val="1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5"/>
        </w:trPr>
        <w:tc>
          <w:tcPr>
            <w:tcW w:w="440" w:type="dxa"/>
            <w:vAlign w:val="bottom"/>
            <w:tcBorders>
              <w:left w:val="single" w:sz="8" w:color="auto"/>
            </w:tcBorders>
            <w:gridSpan w:val="3"/>
          </w:tcPr>
          <w:p>
            <w:pPr>
              <w:ind w:left="120"/>
              <w:spacing w:after="0" w:line="185" w:lineRule="exact"/>
              <w:rPr>
                <w:sz w:val="20"/>
                <w:szCs w:val="20"/>
                <w:color w:val="auto"/>
              </w:rPr>
            </w:pPr>
            <w:r>
              <w:rPr>
                <w:rFonts w:ascii="Times New Roman" w:cs="Times New Roman" w:eastAsia="Times New Roman" w:hAnsi="Times New Roman"/>
                <w:sz w:val="18"/>
                <w:szCs w:val="18"/>
                <w:color w:val="0000EE"/>
              </w:rPr>
              <w:t>4.1</w:t>
            </w:r>
          </w:p>
        </w:tc>
        <w:tc>
          <w:tcPr>
            <w:tcW w:w="20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60" w:type="dxa"/>
            <w:vAlign w:val="bottom"/>
            <w:tcBorders>
              <w:right w:val="single" w:sz="8" w:color="auto"/>
            </w:tcBorders>
            <w:gridSpan w:val="12"/>
          </w:tcPr>
          <w:p>
            <w:pPr>
              <w:spacing w:after="0" w:line="185" w:lineRule="exact"/>
              <w:rPr>
                <w:sz w:val="20"/>
                <w:szCs w:val="20"/>
                <w:color w:val="auto"/>
              </w:rPr>
            </w:pPr>
            <w:r>
              <w:rPr>
                <w:rFonts w:ascii="Times New Roman" w:cs="Times New Roman" w:eastAsia="Times New Roman" w:hAnsi="Times New Roman"/>
                <w:sz w:val="18"/>
                <w:szCs w:val="18"/>
                <w:color w:val="0000EE"/>
              </w:rPr>
              <w:t>Form of 5.100% Notes due October 29, 2028.</w:t>
            </w:r>
          </w:p>
        </w:tc>
      </w:tr>
      <w:tr>
        <w:trPr>
          <w:trHeight w:val="34"/>
        </w:trPr>
        <w:tc>
          <w:tcPr>
            <w:tcW w:w="120" w:type="dxa"/>
            <w:vAlign w:val="bottom"/>
            <w:tcBorders>
              <w:left w:val="single" w:sz="8" w:color="auto"/>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40" w:type="dxa"/>
            <w:vAlign w:val="bottom"/>
            <w:tcBorders>
              <w:top w:val="single" w:sz="8" w:color="0000EE"/>
              <w:bottom w:val="single" w:sz="8" w:color="auto"/>
            </w:tcBorders>
          </w:tcPr>
          <w:p>
            <w:pPr>
              <w:spacing w:after="0"/>
              <w:rPr>
                <w:sz w:val="2"/>
                <w:szCs w:val="2"/>
                <w:color w:val="auto"/>
              </w:rPr>
            </w:pPr>
          </w:p>
        </w:tc>
        <w:tc>
          <w:tcPr>
            <w:tcW w:w="15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r>
      <w:tr>
        <w:trPr>
          <w:trHeight w:val="182"/>
        </w:trPr>
        <w:tc>
          <w:tcPr>
            <w:tcW w:w="440" w:type="dxa"/>
            <w:vAlign w:val="bottom"/>
            <w:tcBorders>
              <w:left w:val="single" w:sz="8" w:color="auto"/>
            </w:tcBorders>
            <w:gridSpan w:val="3"/>
          </w:tcPr>
          <w:p>
            <w:pPr>
              <w:ind w:left="120"/>
              <w:spacing w:after="0" w:line="182" w:lineRule="exact"/>
              <w:rPr>
                <w:sz w:val="20"/>
                <w:szCs w:val="20"/>
                <w:color w:val="auto"/>
              </w:rPr>
            </w:pPr>
            <w:r>
              <w:rPr>
                <w:rFonts w:ascii="Times New Roman" w:cs="Times New Roman" w:eastAsia="Times New Roman" w:hAnsi="Times New Roman"/>
                <w:sz w:val="18"/>
                <w:szCs w:val="18"/>
                <w:color w:val="0000EE"/>
              </w:rPr>
              <w:t>4.2</w:t>
            </w:r>
          </w:p>
        </w:tc>
        <w:tc>
          <w:tcPr>
            <w:tcW w:w="20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660" w:type="dxa"/>
            <w:vAlign w:val="bottom"/>
            <w:tcBorders>
              <w:right w:val="single" w:sz="8" w:color="auto"/>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EE"/>
              </w:rPr>
              <w:t>Form of 5.300% Notes due October 29, 2029.</w:t>
            </w:r>
          </w:p>
        </w:tc>
      </w:tr>
      <w:tr>
        <w:trPr>
          <w:trHeight w:val="34"/>
        </w:trPr>
        <w:tc>
          <w:tcPr>
            <w:tcW w:w="120" w:type="dxa"/>
            <w:vAlign w:val="bottom"/>
            <w:tcBorders>
              <w:left w:val="single" w:sz="8" w:color="auto"/>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40" w:type="dxa"/>
            <w:vAlign w:val="bottom"/>
            <w:tcBorders>
              <w:top w:val="single" w:sz="8" w:color="0000EE"/>
              <w:bottom w:val="single" w:sz="8" w:color="auto"/>
            </w:tcBorders>
          </w:tcPr>
          <w:p>
            <w:pPr>
              <w:spacing w:after="0"/>
              <w:rPr>
                <w:sz w:val="2"/>
                <w:szCs w:val="2"/>
                <w:color w:val="auto"/>
              </w:rPr>
            </w:pPr>
          </w:p>
        </w:tc>
        <w:tc>
          <w:tcPr>
            <w:tcW w:w="15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r>
      <w:tr>
        <w:trPr>
          <w:trHeight w:val="182"/>
        </w:trPr>
        <w:tc>
          <w:tcPr>
            <w:tcW w:w="440" w:type="dxa"/>
            <w:vAlign w:val="bottom"/>
            <w:tcBorders>
              <w:left w:val="single" w:sz="8" w:color="auto"/>
            </w:tcBorders>
            <w:gridSpan w:val="3"/>
          </w:tcPr>
          <w:p>
            <w:pPr>
              <w:ind w:left="120"/>
              <w:spacing w:after="0" w:line="182" w:lineRule="exact"/>
              <w:rPr>
                <w:sz w:val="20"/>
                <w:szCs w:val="20"/>
                <w:color w:val="auto"/>
              </w:rPr>
            </w:pPr>
            <w:r>
              <w:rPr>
                <w:rFonts w:ascii="Times New Roman" w:cs="Times New Roman" w:eastAsia="Times New Roman" w:hAnsi="Times New Roman"/>
                <w:sz w:val="18"/>
                <w:szCs w:val="18"/>
                <w:color w:val="0000EE"/>
              </w:rPr>
              <w:t>4.3</w:t>
            </w:r>
          </w:p>
        </w:tc>
        <w:tc>
          <w:tcPr>
            <w:tcW w:w="20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660" w:type="dxa"/>
            <w:vAlign w:val="bottom"/>
            <w:tcBorders>
              <w:right w:val="single" w:sz="8" w:color="auto"/>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EE"/>
              </w:rPr>
              <w:t>Form of 5.450% Notes due October 29, 2031.</w:t>
            </w:r>
          </w:p>
        </w:tc>
      </w:tr>
      <w:tr>
        <w:trPr>
          <w:trHeight w:val="34"/>
        </w:trPr>
        <w:tc>
          <w:tcPr>
            <w:tcW w:w="120" w:type="dxa"/>
            <w:vAlign w:val="bottom"/>
            <w:tcBorders>
              <w:left w:val="single" w:sz="8" w:color="auto"/>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40" w:type="dxa"/>
            <w:vAlign w:val="bottom"/>
            <w:tcBorders>
              <w:top w:val="single" w:sz="8" w:color="0000EE"/>
              <w:bottom w:val="single" w:sz="8" w:color="auto"/>
            </w:tcBorders>
          </w:tcPr>
          <w:p>
            <w:pPr>
              <w:spacing w:after="0"/>
              <w:rPr>
                <w:sz w:val="2"/>
                <w:szCs w:val="2"/>
                <w:color w:val="auto"/>
              </w:rPr>
            </w:pPr>
          </w:p>
        </w:tc>
        <w:tc>
          <w:tcPr>
            <w:tcW w:w="15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r>
      <w:tr>
        <w:trPr>
          <w:trHeight w:val="183"/>
        </w:trPr>
        <w:tc>
          <w:tcPr>
            <w:tcW w:w="440" w:type="dxa"/>
            <w:vAlign w:val="bottom"/>
            <w:tcBorders>
              <w:left w:val="single" w:sz="8" w:color="auto"/>
            </w:tcBorders>
            <w:gridSpan w:val="3"/>
          </w:tcPr>
          <w:p>
            <w:pPr>
              <w:ind w:left="120"/>
              <w:spacing w:after="0" w:line="182" w:lineRule="exact"/>
              <w:rPr>
                <w:sz w:val="20"/>
                <w:szCs w:val="20"/>
                <w:color w:val="auto"/>
              </w:rPr>
            </w:pPr>
            <w:r>
              <w:rPr>
                <w:rFonts w:ascii="Times New Roman" w:cs="Times New Roman" w:eastAsia="Times New Roman" w:hAnsi="Times New Roman"/>
                <w:sz w:val="18"/>
                <w:szCs w:val="18"/>
                <w:color w:val="0000EE"/>
              </w:rPr>
              <w:t>4.4</w:t>
            </w:r>
          </w:p>
        </w:tc>
        <w:tc>
          <w:tcPr>
            <w:tcW w:w="20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660" w:type="dxa"/>
            <w:vAlign w:val="bottom"/>
            <w:tcBorders>
              <w:right w:val="single" w:sz="8" w:color="auto"/>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EE"/>
              </w:rPr>
              <w:t>Form of 5.650% Notes due January 29, 2034.</w:t>
            </w:r>
          </w:p>
        </w:tc>
      </w:tr>
      <w:tr>
        <w:trPr>
          <w:trHeight w:val="34"/>
        </w:trPr>
        <w:tc>
          <w:tcPr>
            <w:tcW w:w="120" w:type="dxa"/>
            <w:vAlign w:val="bottom"/>
            <w:tcBorders>
              <w:left w:val="single" w:sz="8" w:color="auto"/>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40" w:type="dxa"/>
            <w:vAlign w:val="bottom"/>
            <w:tcBorders>
              <w:top w:val="single" w:sz="8" w:color="0000EE"/>
              <w:bottom w:val="single" w:sz="8" w:color="auto"/>
            </w:tcBorders>
          </w:tcPr>
          <w:p>
            <w:pPr>
              <w:spacing w:after="0"/>
              <w:rPr>
                <w:sz w:val="2"/>
                <w:szCs w:val="2"/>
                <w:color w:val="auto"/>
              </w:rPr>
            </w:pPr>
          </w:p>
        </w:tc>
        <w:tc>
          <w:tcPr>
            <w:tcW w:w="154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r>
      <w:tr>
        <w:trPr>
          <w:trHeight w:val="182"/>
        </w:trPr>
        <w:tc>
          <w:tcPr>
            <w:tcW w:w="440" w:type="dxa"/>
            <w:vAlign w:val="bottom"/>
            <w:tcBorders>
              <w:left w:val="single" w:sz="8" w:color="auto"/>
            </w:tcBorders>
            <w:gridSpan w:val="3"/>
          </w:tcPr>
          <w:p>
            <w:pPr>
              <w:ind w:left="120"/>
              <w:spacing w:after="0" w:line="182" w:lineRule="exact"/>
              <w:rPr>
                <w:sz w:val="20"/>
                <w:szCs w:val="20"/>
                <w:color w:val="auto"/>
              </w:rPr>
            </w:pPr>
            <w:r>
              <w:rPr>
                <w:rFonts w:ascii="Times New Roman" w:cs="Times New Roman" w:eastAsia="Times New Roman" w:hAnsi="Times New Roman"/>
                <w:sz w:val="18"/>
                <w:szCs w:val="18"/>
                <w:color w:val="0000EE"/>
              </w:rPr>
              <w:t>4.5</w:t>
            </w:r>
          </w:p>
        </w:tc>
        <w:tc>
          <w:tcPr>
            <w:tcW w:w="20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660" w:type="dxa"/>
            <w:vAlign w:val="bottom"/>
            <w:tcBorders>
              <w:right w:val="single" w:sz="8" w:color="auto"/>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EE"/>
              </w:rPr>
              <w:t>Form of 5.800% Notes due October 29, 2036.</w:t>
            </w:r>
          </w:p>
        </w:tc>
      </w:tr>
      <w:tr>
        <w:trPr>
          <w:trHeight w:val="34"/>
        </w:trPr>
        <w:tc>
          <w:tcPr>
            <w:tcW w:w="120" w:type="dxa"/>
            <w:vAlign w:val="bottom"/>
            <w:tcBorders>
              <w:left w:val="single" w:sz="8" w:color="auto"/>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40" w:type="dxa"/>
            <w:vAlign w:val="bottom"/>
            <w:tcBorders>
              <w:top w:val="single" w:sz="8" w:color="0000EE"/>
              <w:bottom w:val="single" w:sz="8" w:color="auto"/>
            </w:tcBorders>
          </w:tcPr>
          <w:p>
            <w:pPr>
              <w:spacing w:after="0"/>
              <w:rPr>
                <w:sz w:val="2"/>
                <w:szCs w:val="2"/>
                <w:color w:val="auto"/>
              </w:rPr>
            </w:pPr>
          </w:p>
        </w:tc>
        <w:tc>
          <w:tcPr>
            <w:tcW w:w="15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r>
      <w:tr>
        <w:trPr>
          <w:trHeight w:val="183"/>
        </w:trPr>
        <w:tc>
          <w:tcPr>
            <w:tcW w:w="440" w:type="dxa"/>
            <w:vAlign w:val="bottom"/>
            <w:tcBorders>
              <w:left w:val="single" w:sz="8" w:color="auto"/>
            </w:tcBorders>
            <w:gridSpan w:val="3"/>
          </w:tcPr>
          <w:p>
            <w:pPr>
              <w:ind w:left="120"/>
              <w:spacing w:after="0" w:line="182"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4.6</w:t>
              </w:r>
            </w:hyperlink>
          </w:p>
        </w:tc>
        <w:tc>
          <w:tcPr>
            <w:tcW w:w="20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660" w:type="dxa"/>
            <w:vAlign w:val="bottom"/>
            <w:tcBorders>
              <w:right w:val="single" w:sz="8" w:color="auto"/>
            </w:tcBorders>
            <w:gridSpan w:val="12"/>
          </w:tcPr>
          <w:p>
            <w:pPr>
              <w:spacing w:after="0" w:line="182"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First Amended and Restated Indenture dated as of March 1, 1988, between the Corporation and The Bank of New</w:t>
              </w:r>
            </w:hyperlink>
          </w:p>
        </w:tc>
      </w:tr>
      <w:tr>
        <w:trPr>
          <w:trHeight w:val="196"/>
        </w:trPr>
        <w:tc>
          <w:tcPr>
            <w:tcW w:w="120" w:type="dxa"/>
            <w:vAlign w:val="bottom"/>
            <w:tcBorders>
              <w:left w:val="single" w:sz="8" w:color="auto"/>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York Mellon Trust Company, N.A. (as successor in interest to The First National Bank of Chicago) as trustee</w:t>
              </w:r>
            </w:hyperlink>
          </w:p>
        </w:tc>
        <w:tc>
          <w:tcPr>
            <w:tcW w:w="360" w:type="dxa"/>
            <w:vAlign w:val="bottom"/>
            <w:tcBorders>
              <w:top w:val="single" w:sz="8" w:color="0000EE"/>
            </w:tcBorders>
            <w:gridSpan w:val="5"/>
          </w:tcPr>
          <w:p>
            <w:pPr>
              <w:spacing w:after="0"/>
              <w:rPr>
                <w:sz w:val="17"/>
                <w:szCs w:val="17"/>
                <w:color w:val="auto"/>
              </w:rPr>
            </w:pPr>
          </w:p>
        </w:tc>
        <w:tc>
          <w:tcPr>
            <w:tcW w:w="440" w:type="dxa"/>
            <w:vAlign w:val="bottom"/>
            <w:tcBorders>
              <w:right w:val="single" w:sz="8" w:color="auto"/>
            </w:tcBorders>
            <w:gridSpan w:val="2"/>
          </w:tcPr>
          <w:p>
            <w:pPr>
              <w:spacing w:after="0"/>
              <w:rPr>
                <w:sz w:val="17"/>
                <w:szCs w:val="17"/>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(originally executed with Bank of America National Trust and Savings Association) (incorporated by reference to</w:t>
              </w:r>
            </w:hyperlink>
          </w:p>
        </w:tc>
        <w:tc>
          <w:tcPr>
            <w:tcW w:w="460" w:type="dxa"/>
            <w:vAlign w:val="bottom"/>
            <w:tcBorders>
              <w:right w:val="single" w:sz="8" w:color="auto"/>
            </w:tcBorders>
            <w:gridSpan w:val="3"/>
          </w:tcPr>
          <w:p>
            <w:pPr>
              <w:spacing w:after="0"/>
              <w:rPr>
                <w:sz w:val="17"/>
                <w:szCs w:val="17"/>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60" w:type="dxa"/>
            <w:vAlign w:val="bottom"/>
            <w:tcBorders>
              <w:right w:val="single" w:sz="8" w:color="auto"/>
            </w:tcBorders>
            <w:gridSpan w:val="12"/>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Exhibit No. 4.1 to the Registration Statement on Form S-3 filed on February 2, 1998 (Registration No. 333-45399)).</w:t>
              </w:r>
            </w:hyperlink>
          </w:p>
        </w:tc>
      </w:tr>
      <w:tr>
        <w:trPr>
          <w:trHeight w:val="34"/>
        </w:trPr>
        <w:tc>
          <w:tcPr>
            <w:tcW w:w="1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40" w:type="dxa"/>
            <w:vAlign w:val="bottom"/>
            <w:tcBorders>
              <w:top w:val="single" w:sz="8" w:color="0000EE"/>
              <w:bottom w:val="single" w:sz="8" w:color="auto"/>
            </w:tcBorders>
          </w:tcPr>
          <w:p>
            <w:pPr>
              <w:spacing w:after="0"/>
              <w:rPr>
                <w:sz w:val="2"/>
                <w:szCs w:val="2"/>
                <w:color w:val="auto"/>
              </w:rPr>
            </w:pPr>
          </w:p>
        </w:tc>
        <w:tc>
          <w:tcPr>
            <w:tcW w:w="15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540" w:type="dxa"/>
            <w:vAlign w:val="bottom"/>
            <w:tcBorders>
              <w:top w:val="single" w:sz="8" w:color="0000EE"/>
              <w:bottom w:val="single" w:sz="8" w:color="auto"/>
            </w:tcBorders>
          </w:tcPr>
          <w:p>
            <w:pPr>
              <w:spacing w:after="0"/>
              <w:rPr>
                <w:sz w:val="2"/>
                <w:szCs w:val="2"/>
                <w:color w:val="auto"/>
              </w:rPr>
            </w:pPr>
          </w:p>
        </w:tc>
        <w:tc>
          <w:tcPr>
            <w:tcW w:w="40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r>
      <w:tr>
        <w:trPr>
          <w:trHeight w:val="183"/>
        </w:trPr>
        <w:tc>
          <w:tcPr>
            <w:tcW w:w="440" w:type="dxa"/>
            <w:vAlign w:val="bottom"/>
            <w:tcBorders>
              <w:left w:val="single" w:sz="8" w:color="auto"/>
            </w:tcBorders>
            <w:gridSpan w:val="3"/>
          </w:tcPr>
          <w:p>
            <w:pPr>
              <w:ind w:left="120"/>
              <w:spacing w:after="0" w:line="182" w:lineRule="exact"/>
              <w:rPr>
                <w:sz w:val="20"/>
                <w:szCs w:val="20"/>
                <w:color w:val="auto"/>
              </w:rPr>
            </w:pPr>
            <w:r>
              <w:rPr>
                <w:rFonts w:ascii="Times New Roman" w:cs="Times New Roman" w:eastAsia="Times New Roman" w:hAnsi="Times New Roman"/>
                <w:sz w:val="18"/>
                <w:szCs w:val="18"/>
                <w:color w:val="0000EE"/>
              </w:rPr>
              <w:t>4.7</w:t>
            </w:r>
          </w:p>
        </w:tc>
        <w:tc>
          <w:tcPr>
            <w:tcW w:w="20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660" w:type="dxa"/>
            <w:vAlign w:val="bottom"/>
            <w:tcBorders>
              <w:right w:val="single" w:sz="8" w:color="auto"/>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EE"/>
              </w:rPr>
              <w:t>Eleventh Supplemental Indenture, dated as of October 29, 2026, between the Corporation and U.S. Bank Trust</w:t>
            </w:r>
          </w:p>
        </w:tc>
      </w:tr>
      <w:tr>
        <w:trPr>
          <w:trHeight w:val="196"/>
        </w:trPr>
        <w:tc>
          <w:tcPr>
            <w:tcW w:w="120" w:type="dxa"/>
            <w:vAlign w:val="bottom"/>
            <w:tcBorders>
              <w:left w:val="single" w:sz="8" w:color="auto"/>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9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Company, National Association, as successor trustee.</w:t>
            </w:r>
          </w:p>
        </w:tc>
        <w:tc>
          <w:tcPr>
            <w:tcW w:w="700" w:type="dxa"/>
            <w:vAlign w:val="bottom"/>
            <w:tcBorders>
              <w:right w:val="single" w:sz="8" w:color="auto"/>
            </w:tcBorders>
            <w:gridSpan w:val="5"/>
          </w:tcPr>
          <w:p>
            <w:pPr>
              <w:spacing w:after="0"/>
              <w:rPr>
                <w:sz w:val="17"/>
                <w:szCs w:val="17"/>
                <w:color w:val="auto"/>
              </w:rPr>
            </w:pPr>
          </w:p>
        </w:tc>
      </w:tr>
      <w:tr>
        <w:trPr>
          <w:trHeight w:val="34"/>
        </w:trPr>
        <w:tc>
          <w:tcPr>
            <w:tcW w:w="1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40" w:type="dxa"/>
            <w:vAlign w:val="bottom"/>
            <w:tcBorders>
              <w:top w:val="single" w:sz="8" w:color="0000EE"/>
              <w:bottom w:val="single" w:sz="8" w:color="auto"/>
            </w:tcBorders>
          </w:tcPr>
          <w:p>
            <w:pPr>
              <w:spacing w:after="0"/>
              <w:rPr>
                <w:sz w:val="2"/>
                <w:szCs w:val="2"/>
                <w:color w:val="auto"/>
              </w:rPr>
            </w:pPr>
          </w:p>
        </w:tc>
        <w:tc>
          <w:tcPr>
            <w:tcW w:w="15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540" w:type="dxa"/>
            <w:vAlign w:val="bottom"/>
            <w:tcBorders>
              <w:top w:val="single" w:sz="8" w:color="0000EE"/>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r>
      <w:tr>
        <w:trPr>
          <w:trHeight w:val="183"/>
        </w:trPr>
        <w:tc>
          <w:tcPr>
            <w:tcW w:w="2500" w:type="dxa"/>
            <w:vAlign w:val="bottom"/>
            <w:tcBorders>
              <w:left w:val="single" w:sz="8" w:color="auto"/>
              <w:right w:val="single" w:sz="8" w:color="auto"/>
            </w:tcBorders>
            <w:gridSpan w:val="4"/>
          </w:tcPr>
          <w:p>
            <w:pPr>
              <w:ind w:left="120"/>
              <w:spacing w:after="0" w:line="182" w:lineRule="exact"/>
              <w:rPr>
                <w:sz w:val="20"/>
                <w:szCs w:val="20"/>
                <w:color w:val="auto"/>
              </w:rPr>
            </w:pPr>
            <w:r>
              <w:rPr>
                <w:rFonts w:ascii="Times New Roman" w:cs="Times New Roman" w:eastAsia="Times New Roman" w:hAnsi="Times New Roman"/>
                <w:sz w:val="18"/>
                <w:szCs w:val="18"/>
                <w:color w:val="0000EE"/>
              </w:rPr>
              <w:t>10.1</w:t>
            </w:r>
          </w:p>
        </w:tc>
        <w:tc>
          <w:tcPr>
            <w:tcW w:w="80" w:type="dxa"/>
            <w:vAlign w:val="bottom"/>
          </w:tcPr>
          <w:p>
            <w:pPr>
              <w:spacing w:after="0"/>
              <w:rPr>
                <w:sz w:val="15"/>
                <w:szCs w:val="15"/>
                <w:color w:val="auto"/>
              </w:rPr>
            </w:pPr>
          </w:p>
        </w:tc>
        <w:tc>
          <w:tcPr>
            <w:tcW w:w="8660" w:type="dxa"/>
            <w:vAlign w:val="bottom"/>
            <w:tcBorders>
              <w:right w:val="single" w:sz="8" w:color="auto"/>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EE"/>
              </w:rPr>
              <w:t>Registration Rights Agreement, dated as of October 29, 2026, by and among the Corporation and J.P. Morgan</w:t>
            </w: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6160" w:type="dxa"/>
            <w:vAlign w:val="bottom"/>
            <w:gridSpan w:val="5"/>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Borders>
              <w:right w:val="single" w:sz="8" w:color="auto"/>
            </w:tcBorders>
            <w:gridSpan w:val="4"/>
          </w:tcPr>
          <w:p>
            <w:pPr>
              <w:spacing w:after="0" w:line="20" w:lineRule="exact"/>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Securities LLC, Citigroup Global Markets Inc. and Morgan Stanley &amp; Co. LLC, as representatives of the initial</w:t>
            </w:r>
          </w:p>
        </w:tc>
        <w:tc>
          <w:tcPr>
            <w:tcW w:w="620" w:type="dxa"/>
            <w:vAlign w:val="bottom"/>
            <w:tcBorders>
              <w:right w:val="single" w:sz="8" w:color="auto"/>
            </w:tcBorders>
            <w:gridSpan w:val="4"/>
          </w:tcPr>
          <w:p>
            <w:pPr>
              <w:spacing w:after="0"/>
              <w:rPr>
                <w:sz w:val="17"/>
                <w:szCs w:val="17"/>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60" w:type="dxa"/>
            <w:vAlign w:val="bottom"/>
            <w:tcBorders>
              <w:right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purchasers of the Notes.</w:t>
            </w:r>
          </w:p>
        </w:tc>
      </w:tr>
      <w:tr>
        <w:trPr>
          <w:trHeight w:val="34"/>
        </w:trPr>
        <w:tc>
          <w:tcPr>
            <w:tcW w:w="1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40" w:type="dxa"/>
            <w:vAlign w:val="bottom"/>
            <w:tcBorders>
              <w:top w:val="single" w:sz="8" w:color="0000EE"/>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r>
      <w:tr>
        <w:trPr>
          <w:trHeight w:val="232"/>
        </w:trPr>
        <w:tc>
          <w:tcPr>
            <w:tcW w:w="440" w:type="dxa"/>
            <w:vAlign w:val="bottom"/>
            <w:tcBorders>
              <w:left w:val="single" w:sz="8" w:color="auto"/>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20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60" w:type="dxa"/>
            <w:vAlign w:val="bottom"/>
            <w:tcBorders>
              <w:bottom w:val="single" w:sz="8" w:color="auto"/>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The cover page from Kimberly-Clark Corporation’s Current Report on Form 8-K, formatted in Inline XBRL.</w:t>
            </w:r>
          </w:p>
        </w:tc>
      </w:tr>
      <w:tr>
        <w:trPr>
          <w:trHeight w:val="673"/>
        </w:trPr>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KIMBERLY-CLARK CORPORATION</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Nelson Urdaneta</w:t>
            </w:r>
          </w:p>
        </w:tc>
      </w:tr>
      <w:tr>
        <w:trPr>
          <w:trHeight w:val="20"/>
        </w:trPr>
        <w:tc>
          <w:tcPr>
            <w:tcW w:w="3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r>
      <w:tr>
        <w:trPr>
          <w:trHeight w:val="178"/>
        </w:trPr>
        <w:tc>
          <w:tcPr>
            <w:tcW w:w="3660" w:type="dxa"/>
            <w:vAlign w:val="bottom"/>
          </w:tcPr>
          <w:p>
            <w:pPr>
              <w:spacing w:after="0"/>
              <w:rPr>
                <w:sz w:val="15"/>
                <w:szCs w:val="15"/>
                <w:color w:val="auto"/>
              </w:rPr>
            </w:pPr>
          </w:p>
        </w:tc>
        <w:tc>
          <w:tcPr>
            <w:tcW w:w="7580" w:type="dxa"/>
            <w:vAlign w:val="bottom"/>
            <w:gridSpan w:val="2"/>
          </w:tcPr>
          <w:p>
            <w:pPr>
              <w:ind w:left="1980"/>
              <w:spacing w:after="0" w:line="177" w:lineRule="exact"/>
              <w:rPr>
                <w:sz w:val="20"/>
                <w:szCs w:val="20"/>
                <w:color w:val="auto"/>
              </w:rPr>
            </w:pPr>
            <w:r>
              <w:rPr>
                <w:rFonts w:ascii="Times New Roman" w:cs="Times New Roman" w:eastAsia="Times New Roman" w:hAnsi="Times New Roman"/>
                <w:sz w:val="18"/>
                <w:szCs w:val="18"/>
                <w:color w:val="auto"/>
              </w:rPr>
              <w:t>Name: Nelson Urdaneta</w:t>
            </w:r>
          </w:p>
        </w:tc>
      </w:t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tc>
      </w:tr>
      <w:tr>
        <w:trPr>
          <w:trHeight w:val="675"/>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ind w:left="10240"/>
        <w:spacing w:after="0"/>
        <w:rPr>
          <w:sz w:val="20"/>
          <w:szCs w:val="20"/>
          <w:color w:val="auto"/>
        </w:rPr>
      </w:pPr>
      <w:r>
        <w:rPr>
          <w:rFonts w:ascii="Times New Roman" w:cs="Times New Roman" w:eastAsia="Times New Roman" w:hAnsi="Times New Roman"/>
          <w:sz w:val="21"/>
          <w:szCs w:val="21"/>
          <w:b w:val="1"/>
          <w:bCs w:val="1"/>
          <w:color w:val="auto"/>
        </w:rPr>
        <w:t>Exhibit 4.1</w:t>
      </w:r>
    </w:p>
    <w:p>
      <w:pPr>
        <w:spacing w:after="0" w:line="2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A DEPOSITORY OR A NOMINEE OF A DEPOSITORY, WHICH MAY BE TREATED BY THE COMPANY, THE TRUSTEE AND ANY AGENT THEREOF AS OWNER AND HOLDER OF THIS SECURITY FOR ALL PURPOSES. THIS GLOBAL SECURITY IS EXCHANGEABLE FOR SECURITIES REGISTERED IN THE NAME OF A PERSON OTHER THAN THE DEPOSITORY OR ITS NOMINEE ONLY IN THE LIMITED CIRCUMSTANCES HEREINAFTER DESCRIBED AND MAY NOT BE TRANSFERRED EXCEPT AS A WHOLE BY THE DEPOSITORY TO A NOMINEE OF THE DEPOSITORY OR BY A NOMINEE OF THE DEPOSITORY TO THE DEPOSITORY.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THIS SECURITY IS PRESENTED BY AN AUTHORIZED REPRESENTATIVE OF THE DEPOSITORY TRUST COMPANY, A NEW YORK CORPORATION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PLEDGE OR OTHERWISE TRANSFER SUCH SECURITY, PRIOR TO THE DATE (THE “RESALE RESTRICTION TERMINATION DATE”) THAT IS [IN THE CASE OF RULE 144A GLOBAL NOTES: ONE YEAR AFTER THE LATER OF THE ISSUE DATE HEREOF OR ANY OTHER ISSUE DATE IN RESPECT OF A FURTHER ISSUANCE OF SECURITIES OF THE SAME SERIES AND THE LAST DATE ON WHICH KIMBERLY-CLARK CORPORATION OR ANY AFFILIATE OF KIMBERLY-CLARK CORPORATION WAS THE OWNER OF THIS SECURITY (OR ANY PREDECESSOR OF SUCH SECURITY), ONLY (A) TO KIMBERLY-CLARK CORPORATION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 (E) 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[IN THE CASE OF REGULATION S NOTES: 40 DAYS AFTER THE LATER OF THE ISSUE DATE HEREOF OR ANY OTHER ISSUE DATE IN RESPECT OF A FURTHER ISSUANCE OF SECURITIES OF THE SAME SERIES AND THE DATE ON WHICH THIS SECURITY (OR ANY PREDECESSOR OF SUCH SECURITY) WAS FIRST OFFERED TO PERSONS OTHER THAN DISTRIBUTORS (AS DEFINED IN RULE 902 OF REGULATION S) IN RELIANCE ON REGULATION S, ONLY (A) TO KIMBERLY-CLARK CORPORATION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 (E) 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PROVIDED THAT PRIOR TO THE RESALE RESTRICTION TERMINATION DATE, THE HOLDER AGREES ON ITS OWN BEHALF AND ON BEHALF OF ANY INVESTOR ACCOUNT FOR WHICH IT HAS PURCHASED SECURITIES, TO NOT OFFER, SELL, PLEDGE OR OTHERWISE TRANSFER SUCH SECURITY TO A U.S. PERSON OR FOR THE ACCOUNT OR BENEFIT OF A U.S.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BY ITS ACQUISITION HEREOF, THE HOLDER HEREOF AGREES THAT (A) IT IS NOT, AND WILL NOT BECOME (I) AN “EMPLOYEE BENEFIT PLAN” (AS DEFINED IN SECTION 3(3) OF THE EMPLOYEE RETIREMENT INCOME SECURITY ACT OF 1974, AS AMENDED (“ERISA”)) THAT IS SUBJECT TO TITLE I OF ERISA, (II) A PLAN DESCRIBED IN SECTION 4975(E)(1) OF THE INTERNAL REVENUE CODE OF 1986, AS AMENDED (THE “CODE”), THAT IS SUBJECT TO SECTION 4975 OF THE CODE, (III) A PLAN, INDIVIDUAL RETIREMENT ACCOUNT OR OTHER ARRANGEMENT THAT IS SUBJECT TO THE PROVISIONS OF ANY FEDERAL, STATE, LOCAL, NON-U.S. OR OTHER LAWS, RULES OR REGULATIONS THAT ARE SIMILAR TO SUCH PROVISIONS OF ERISA OR THE CODE (SUCH LAWS, COLLECTIVELY, “SIMILAR LAWS”) OR (IV) AN ENTITY OR ACCOUNT WHOSE UNDERLYING ASSETS ARE CONSIDERED TO INCLUDE THE ASSETS OF ANY SUCH PLAN OR ARRANGEMENT DESCRIBED IN (I), (II) OR (III) AND (B) ITS PURCHASE AND HOLDING OF THIS SECURITY, OR INTEREST THEREIN, WILL NOT CONSTITUTE OR RESULT IN A NON-EXEMPT PROHIBITED TRANSACTION UNDER SECTION 406 OF ERISA AND/OR SECTION 4975 OF THE CODE OR A VIOLATION OF ANY SIMILAR LAWS.</w:t>
      </w:r>
    </w:p>
    <w:p>
      <w:pPr>
        <w:spacing w:after="0" w:line="194"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[BY ITS ACQUISITION HEREOF, THE HOLDER HEREOF REPRESENTS THAT IT IS NOT A U.S. PERSON NOR IS IT PURCHASING FOR THE ACCOUNT OF A U.S. PERSON AND IS ACQUIRING THIS SECURITY IN AN OFFSHORE TRANSACTION IN ACCORDANCE WITH REGULATION S UNDER THE SECURITIES ACT.]</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1783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ind w:left="120" w:hanging="112"/>
        <w:spacing w:after="0"/>
        <w:tabs>
          <w:tab w:leader="none" w:pos="12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Applies to Regulation S Notes only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No. [A-[●] / S-[●]]</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CUSIP No. [494368 CF8 (144A) / U49436 AF2 (Reg S)] PRINCIPAL AMOUNT: $[●] ISIN No. [US494368CF85 (144A) / USU49436AF23 (Reg S)]</w:t>
      </w:r>
    </w:p>
    <w:p>
      <w:pPr>
        <w:spacing w:after="0" w:line="200" w:lineRule="exact"/>
        <w:rPr>
          <w:sz w:val="20"/>
          <w:szCs w:val="20"/>
          <w:color w:val="auto"/>
        </w:rPr>
      </w:pPr>
    </w:p>
    <w:p>
      <w:pPr>
        <w:spacing w:after="0" w:line="21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5.100% NOTES DUE OCTOBER 29, 2028</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Kimberly-Clark Corporation, a corporation duly incorporated and existing under the laws of the State of Delaware (hereinafter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corporation under the Indenture hereinafter referred to), for value received, hereby promises to pay to CEDE &amp; CO., or registered assigns, the principal sum of ($[●]) on October 29, 2028, and to pay interest thereon from October 29, 2026, or from the most recent Interest Payment Date to which interest has been paid or duly provided for semi-annually on April 29 and October 29 of each year, commencing April 29, 2027, at the rate of 5.100% per annum, until the principal hereof is paid or made available for payment. The interest so payable, and punctually paid or duly provided for, on any Interest Payment Date will, as provided in the Indenture, be paid to the Person in whose name this Security (or one or more Predecessor Securities) is registered at the close of business on the Regular Record Date for such interest, which shall be April 14 and October 14 (whether or not a Business Day), as the case may be, next preceding such Interest Payment Date. All references in this Security to any interest or other amount payable on or with respect to this Security will be deemed to include Additional Interest pursuant to the Registration Rights Agreement, if any. Any amounts of Additional Interest due will be payable in cash on the same original Interest Payment Dates as interest on this Security is payable.</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interest not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the Indenture.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or pdf or other electronically imaged (including, without limitation, DocuSign or AdobeSign) signature, this Security shall not be entitled to any benefit under the Indenture or be valid or obligatory for any purpose.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7"/>
          <w:szCs w:val="17"/>
          <w:color w:val="auto"/>
        </w:rPr>
        <w:t>IN WITNESS WHEREOF, the Company has caused this instrument to be duly executed under its corporate seal.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29,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AUTHENTICATION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series designated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 referred to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within-mentioned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successor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color w:val="auto"/>
        </w:rPr>
        <w:t>[Reverse of Note]</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5.100% NOTES DUE OCTOBER 29, 2028</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issued and to be issued in one or more series under a First Amended and Restated Indenture, dated as of March 1, 1988, as amended or supplemented from time to time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The Bank of New York Mellon Trust Company, N.A., as successor trustee and U.S. Bank Trust Company, National Association, as successor trustee in respect of the Future Notes (as defined in the Eighth Supplemental Indenture dated as of October 27, 2021)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$750,000,000.</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October 29, 2028 (the maturity date of the Securities) (the “</w:t>
      </w:r>
      <w:r>
        <w:rPr>
          <w:rFonts w:ascii="Times New Roman" w:cs="Times New Roman" w:eastAsia="Times New Roman" w:hAnsi="Times New Roman"/>
          <w:sz w:val="18"/>
          <w:szCs w:val="18"/>
          <w:u w:val="single" w:color="auto"/>
          <w:color w:val="auto"/>
        </w:rPr>
        <w:t>Measurement Date</w:t>
      </w:r>
      <w:r>
        <w:rPr>
          <w:rFonts w:ascii="Times New Roman" w:cs="Times New Roman" w:eastAsia="Times New Roman" w:hAnsi="Times New Roman"/>
          <w:sz w:val="18"/>
          <w:szCs w:val="18"/>
          <w:color w:val="auto"/>
        </w:rPr>
        <w:t>”), the Company may redeem the Securities at its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the Securities matured on the Measurement Date) on a semi-annual basis (assuming a 360-day year consisting of twelve 30-day months) at the Treasury Rate plus 10 basis points less (b) interest accrued to, but excluding, the Redemption Date, and (2) 100% of the principal amount of the Securities to be redeemed, plus, in either case, accrued and unpaid interest thereon to, but excluding, the Redemption Date.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the yield determined by the Company in accordance with the following two paragraphs.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will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8"/>
          <w:szCs w:val="18"/>
          <w:u w:val="single" w:color="auto"/>
          <w:color w:val="auto"/>
        </w:rPr>
        <w:t>H.15</w:t>
      </w:r>
      <w:r>
        <w:rPr>
          <w:rFonts w:ascii="Times New Roman" w:cs="Times New Roman" w:eastAsia="Times New Roman" w:hAnsi="Times New Roman"/>
          <w:sz w:val="18"/>
          <w:szCs w:val="18"/>
          <w:color w:val="auto"/>
        </w:rPr>
        <w:t>”) under the caption “U.S. government securities — Treasury constant maturities — Nominal” (or any successor caption or heading) (“</w:t>
      </w:r>
      <w:r>
        <w:rPr>
          <w:rFonts w:ascii="Times New Roman" w:cs="Times New Roman" w:eastAsia="Times New Roman" w:hAnsi="Times New Roman"/>
          <w:sz w:val="18"/>
          <w:szCs w:val="18"/>
          <w:u w:val="single" w:color="auto"/>
          <w:color w:val="auto"/>
        </w:rPr>
        <w:t>H.15 TCM</w:t>
      </w:r>
      <w:r>
        <w:rPr>
          <w:rFonts w:ascii="Times New Roman" w:cs="Times New Roman" w:eastAsia="Times New Roman" w:hAnsi="Times New Roman"/>
          <w:sz w:val="18"/>
          <w:szCs w:val="18"/>
          <w:color w:val="auto"/>
        </w:rPr>
        <w:t>”). In determining the Treasury Rate, the Company will select, as applicable: (1) the yield for the Treasury constant maturity on H.15 exactly equal to the period from the Redemption Date to the Measurement Date (the “</w:t>
      </w:r>
      <w:r>
        <w:rPr>
          <w:rFonts w:ascii="Times New Roman" w:cs="Times New Roman" w:eastAsia="Times New Roman" w:hAnsi="Times New Roman"/>
          <w:sz w:val="18"/>
          <w:szCs w:val="18"/>
          <w:u w:val="single" w:color="auto"/>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Measurement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or any successor designation or publication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Measurement Date, as applicable. If there is no United States Treasury security maturing on the Measurement Date but there are two or more United States Treasury securities with a maturity date equally distant from the Measurement Date, one with a maturity date preceding the Measurement Date and one with a maturity date following the Measurement Date, the Company will select the United States Treasury security with a maturity date preceding the Measurement Date. If there are two or more United States Treasury securities maturing on the Measurement Date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Notice of any redemption, other than any Special Mandatory Redemption, will be mailed or electronically delivered (or otherwise transmitted in accordance with the Depository’s procedures) at least 10 days but not more than 60 days before the Redemption Date to each Holder of Securities to be redeemed. Notice of any redemption of the Securities, other than any Special Mandatory Redemption, may, at the Company’s discretion, be given subject to one or more conditions precedent, including, but not limited to, completion of a corporate transaction. If such redemption is so subject to satisfaction of one or more conditions precedent, such notice shall describe each such condition, and, if applicable, will state that at the Company’s discretion, the Redemption Date may be delayed (including more than 60 days after the notice of redemption was given) until such time as any or all such conditions precedent will be satisfied (or waived by the Company in the Company’s sole discretion), or such notice may be rescinded in the event that any or all such conditions shall not have been satisfied or otherwise waived by the Redemption Date, or by the Redemption Date as so delayed. If any such redemption has been rescinded or delayed, the Company will provide written notice to the Trustee prior to the close of business two business days before the Redemption Date and, upon receipt, the Trustee will provide such notice to each Holder of the Securities. Once notice of redemption is mailed or sent, subject to the satisfaction or waiver (in the Company’s sole discretion) of any conditions precedent provided in the notice of redemption, the Securities called for redemption will become due and payable on the Redemption Date and at the applicable Redemption Price, plus accrued and unpaid interest to the Redemption Date.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case of a partial redemption, selection of the Securities for redemption will be made pro rata, by lot or by such other method as the Trustee in its sole discretion deems appropriate and fair. No Securities of a principal amount of $2,000 or less will be redeemed in part. If any Security is to be redeemed in part only, the notice of redemption that relates to the Security will state the portion of the principal amount of the Security to be redeemed. A new Security in a principal amount equal to the unredeemed portion of the Security will be issued in the name of the Holder of the Security upon surrender for cancellation of the original Security. For so long as the Securities are held by DTC (or another depositary), the redemption of the Securities, including the allocation of the Redemption Price among beneficial owners of the Securities, shall be done in accordance with the policies and procedures of the depositary.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Securities or portions thereof called for redemption.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will not be entitled to any sinking fund.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as defined in the Indenture, with respect to Securities of this series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entered into an Agreement and Plan of Merger, dated as of November 2, 2025 (as amended, supplemented or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Kenvue Inc., a Delaware corporation (“</w:t>
      </w:r>
      <w:r>
        <w:rPr>
          <w:rFonts w:ascii="Times New Roman" w:cs="Times New Roman" w:eastAsia="Times New Roman" w:hAnsi="Times New Roman"/>
          <w:sz w:val="18"/>
          <w:szCs w:val="18"/>
          <w:u w:val="single" w:color="auto"/>
          <w:color w:val="auto"/>
        </w:rPr>
        <w:t>Kenvue</w:t>
      </w:r>
      <w:r>
        <w:rPr>
          <w:rFonts w:ascii="Times New Roman" w:cs="Times New Roman" w:eastAsia="Times New Roman" w:hAnsi="Times New Roman"/>
          <w:sz w:val="18"/>
          <w:szCs w:val="18"/>
          <w:color w:val="auto"/>
        </w:rPr>
        <w:t>”), Vesta Sub I, Inc., a Delaware corporation and a direct wholly owned subsidiary of the Company (“</w:t>
      </w:r>
      <w:r>
        <w:rPr>
          <w:rFonts w:ascii="Times New Roman" w:cs="Times New Roman" w:eastAsia="Times New Roman" w:hAnsi="Times New Roman"/>
          <w:sz w:val="18"/>
          <w:szCs w:val="18"/>
          <w:u w:val="single" w:color="auto"/>
          <w:color w:val="auto"/>
        </w:rPr>
        <w:t>First Merger Sub</w:t>
      </w:r>
      <w:r>
        <w:rPr>
          <w:rFonts w:ascii="Times New Roman" w:cs="Times New Roman" w:eastAsia="Times New Roman" w:hAnsi="Times New Roman"/>
          <w:sz w:val="18"/>
          <w:szCs w:val="18"/>
          <w:color w:val="auto"/>
        </w:rPr>
        <w:t>”), and Vesta Sub II, LLC, a Delaware limited liability company and a direct wholly owned subsidiary of the Company (“</w:t>
      </w:r>
      <w:r>
        <w:rPr>
          <w:rFonts w:ascii="Times New Roman" w:cs="Times New Roman" w:eastAsia="Times New Roman" w:hAnsi="Times New Roman"/>
          <w:sz w:val="18"/>
          <w:szCs w:val="18"/>
          <w:u w:val="single" w:color="auto"/>
          <w:color w:val="auto"/>
        </w:rPr>
        <w:t>Second Merger Sub</w:t>
      </w:r>
      <w:r>
        <w:rPr>
          <w:rFonts w:ascii="Times New Roman" w:cs="Times New Roman" w:eastAsia="Times New Roman" w:hAnsi="Times New Roman"/>
          <w:sz w:val="18"/>
          <w:szCs w:val="18"/>
          <w:color w:val="auto"/>
        </w:rPr>
        <w:t>”). Under the terms of the Merger Agreement, First Merger Sub will merge with and into Kenvue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Kenvue surviving as a direct wholly owned subsidiary of the Company (the “</w:t>
      </w:r>
      <w:r>
        <w:rPr>
          <w:rFonts w:ascii="Times New Roman" w:cs="Times New Roman" w:eastAsia="Times New Roman" w:hAnsi="Times New Roman"/>
          <w:sz w:val="18"/>
          <w:szCs w:val="18"/>
          <w:u w:val="single" w:color="auto"/>
          <w:color w:val="auto"/>
        </w:rPr>
        <w:t>Initial Surviving Company</w:t>
      </w:r>
      <w:r>
        <w:rPr>
          <w:rFonts w:ascii="Times New Roman" w:cs="Times New Roman" w:eastAsia="Times New Roman" w:hAnsi="Times New Roman"/>
          <w:sz w:val="18"/>
          <w:szCs w:val="18"/>
          <w:color w:val="auto"/>
        </w:rPr>
        <w:t>”), and immediately following the First Merger, and as part of the same overall transaction as the First Merger, the Initial Surviving Company will merge with and into Second Merger Sub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with Second Merger Sub surviving the Second Merger as a direct wholly owned subsidiary of the Company.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(i) the First Merger has not been consummated prior to the date that is five (5) business days after the later of (x) May 31, 2027 or (y) any later date as the parties to the Merger Agreement may agree as the “Outside Date” thereunder or (ii) the Company notifies the Trustee that the Company will not pursue the consummation of the First Merger (each of (i) and (ii), a “</w:t>
      </w:r>
      <w:r>
        <w:rPr>
          <w:rFonts w:ascii="Times New Roman" w:cs="Times New Roman" w:eastAsia="Times New Roman" w:hAnsi="Times New Roman"/>
          <w:sz w:val="18"/>
          <w:szCs w:val="18"/>
          <w:u w:val="single" w:color="auto"/>
          <w:color w:val="auto"/>
        </w:rPr>
        <w:t>Special Mandatory Redemption Trigger</w:t>
      </w:r>
      <w:r>
        <w:rPr>
          <w:rFonts w:ascii="Times New Roman" w:cs="Times New Roman" w:eastAsia="Times New Roman" w:hAnsi="Times New Roman"/>
          <w:sz w:val="18"/>
          <w:szCs w:val="18"/>
          <w:color w:val="auto"/>
        </w:rPr>
        <w:t>”), then the Company will be required to redeem all outstanding Securities (such redemption, the “</w:t>
      </w:r>
      <w:r>
        <w:rPr>
          <w:rFonts w:ascii="Times New Roman" w:cs="Times New Roman" w:eastAsia="Times New Roman" w:hAnsi="Times New Roman"/>
          <w:sz w:val="18"/>
          <w:szCs w:val="18"/>
          <w:u w:val="single" w:color="auto"/>
          <w:color w:val="auto"/>
        </w:rPr>
        <w:t>Special Mandatory Redemption</w:t>
      </w:r>
      <w:r>
        <w:rPr>
          <w:rFonts w:ascii="Times New Roman" w:cs="Times New Roman" w:eastAsia="Times New Roman" w:hAnsi="Times New Roman"/>
          <w:sz w:val="18"/>
          <w:szCs w:val="18"/>
          <w:color w:val="auto"/>
        </w:rPr>
        <w:t>”) at a special mandatory Redemption Price equal to 101% of the aggregate principal amount of the Securities, plus accrued and unpaid interest, if any, to, but not including, the Special Mandatory Redemption Date (the “</w:t>
      </w:r>
      <w:r>
        <w:rPr>
          <w:rFonts w:ascii="Times New Roman" w:cs="Times New Roman" w:eastAsia="Times New Roman" w:hAnsi="Times New Roman"/>
          <w:sz w:val="18"/>
          <w:szCs w:val="18"/>
          <w:u w:val="single" w:color="auto"/>
          <w:color w:val="auto"/>
        </w:rPr>
        <w:t>Special Mandatory Redemption Price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that the Company becomes obligated to redeem the Securities pursuant to the Special Mandatory Redemption, the Company will promptly, and in any event not more than ten (10) business days after the date on which a Special Mandatory Redemption Trigger occurred, deliver notice to the Trustee of the Special Mandatory Redemption and the date upon which the Securities will be redeemed (the “</w:t>
      </w:r>
      <w:r>
        <w:rPr>
          <w:rFonts w:ascii="Times New Roman" w:cs="Times New Roman" w:eastAsia="Times New Roman" w:hAnsi="Times New Roman"/>
          <w:sz w:val="18"/>
          <w:szCs w:val="18"/>
          <w:u w:val="single" w:color="auto"/>
          <w:color w:val="auto"/>
        </w:rPr>
        <w:t>Special Mandatory Redemption Date</w:t>
      </w:r>
      <w:r>
        <w:rPr>
          <w:rFonts w:ascii="Times New Roman" w:cs="Times New Roman" w:eastAsia="Times New Roman" w:hAnsi="Times New Roman"/>
          <w:sz w:val="18"/>
          <w:szCs w:val="18"/>
          <w:color w:val="auto"/>
        </w:rPr>
        <w:t>,” which date shall be no earlier than five (5) days and no later than thirty (30) days following the date of such notice, unless some longer minimum period may be required by DTC (or any successor depositary selected or approved by the Company)). The Trustee will then promptly mail, or electronically deliver, according to the procedures of DTC, such notice of Special Mandatory Redemption to each Holder of the Securities to be redeemed. Unless the Company defaults in payment of the Special Mandatory Redemption Price, on and after such Special Mandatory Redemption Date, interest will cease to accrue on the Securities to be redeemed.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any series of the Securities that are due and payable on Interest Payment Dates falling on or prior to the Special Mandatory Redemption Date will be payable on such Interest Payment Dates to the Holders as of the close of business on the Regular Record Dates for the payment of interest in accordance with the Securities and the Indenture.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consummation of the First Merger, the foregoing provisions regarding the Special Mandatory Redemption will cease to apply. For purposes of the foregoing, the First Merger will be deemed consummated if the closing of the First Merger as contemplated under the Merger Agreement occurs, including after giving effect to any amendments, modifications or waivers to the Merger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a majority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(a) the entire indebtedness on this Security and (b) certain restrictive covenants and certain Events of Default, upon compliance by the Company with certain conditions set forth therein, which provisions apply to this Security.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due presentment for registration of transfer of this Security at the office or agency of the Trustee maintained for that purpose in St. Paul, Minnesota, a new Security or Securities of this series in authorized denominations for an equal aggregate principal amount will be issued to the transferee in exchange herefor, as provided in the Indenture and subject to the limitations provided therein and to the limitations described below, without charge except for any tax or other governmental charge imposed in connection therewith.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Security is exchangeable for definitive Securities in registered form only if (x) the Depository notifies the Company that it is unwilling or unable to continue as Depository for this Security or if at any time the Depository ceases to be a clearing agency registered under the Securities Exchange Act of 1934, as amended, or (y) the Company in its sole discretion determines that this Security shall be exchangeable for definitive Securities in registered form and notifies the Trustee thereof. If this Security is exchangeable pursuant to the preceding sentence, it shall be exchangeable for definitive Securities in registered form in denominations of $2,000 and any integral multiple of $1,000 in excess thereof, registered in such names as such Depository shall direct, bearing interest at the same rate, having the same date of issuance, redemption provisions, Stated Maturity and other terms and of differing denominations aggregating a like amount.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Security may not be transferred except as a whole by the Depository to a nominee of the Depository, or by a nominee of the Depository to the Depository or another nominee of the Depository, or by the Depository or any such nominee to a successor of the Depository or a nominee of such successor. Except as provided above, owners of beneficial interests in this global Security will not be entitled to receive physical delivery of Securities in definitive form and will not be considered the Holders hereof for any purpose under the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premium, if any) and interest on this Security at the times, place and rate, and in the coin or currency, herein prescribed, except that in the event the Company deposits money or Government Obligations as provided in Sections 402 or 1006 of the Indenture, such payments will be made only from proceeds of such money or Government Obligations.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premium, if any) or the interest on this Security, or for any claim based hereon, or otherwise in respect hereof, or based on or in respect of the Indenture or any indenture supplemental thereto, against any incorporator, stockholder, officer or director, as such, past, present or future, of the Company or any successor corporation, whether by virtue of any constitution, statute or rule of law, or by the enforcement of any assessment or penalty or otherwise, all such liability being, by the acceptance hereof and as part of the consideration for the issuance hereof, expressly waived and released.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Anything in the Indenture or the Security of this series to the contrary notwithstanding, for the purposes of the transactions contemplated by the Indenture relating to the Security of this series, the Security of this series and any document to be signed in connection with the Indenture or such Security (including the Securities of this series and amendments, supplements, waivers, consents and other modifications, Officers’ Certificates, Company Orders and Opinions of Counsel and other issuance, authentication and delivery documents) or the transactions contemplated hereby may be signed by manual signatures that are scanned, photocopied or faxed or other electronic signatures created on an electronic platform (such as DocuSign) or by digital signature (such as Adobe Sign), in each case that is approved by the Trustee, and contract formations on electronic platforms approved by the Trustee, and the keeping of records in electronic form, are hereby authorized, and each shall be of the same legal effect, validity or enforceability as a manually executed signature in ink or the use of a paper-based recordkeeping system, as the case may be.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in this Security which are defined in the Indenture shall have the meanings assigned to them in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10240"/>
        <w:spacing w:after="0"/>
        <w:rPr>
          <w:sz w:val="20"/>
          <w:szCs w:val="20"/>
          <w:color w:val="auto"/>
        </w:rPr>
      </w:pPr>
      <w:r>
        <w:rPr>
          <w:rFonts w:ascii="Times New Roman" w:cs="Times New Roman" w:eastAsia="Times New Roman" w:hAnsi="Times New Roman"/>
          <w:sz w:val="21"/>
          <w:szCs w:val="21"/>
          <w:b w:val="1"/>
          <w:bCs w:val="1"/>
          <w:color w:val="auto"/>
        </w:rPr>
        <w:t>Exhibit 4.2</w:t>
      </w:r>
    </w:p>
    <w:p>
      <w:pPr>
        <w:spacing w:after="0" w:line="2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A DEPOSITORY OR A NOMINEE OF A DEPOSITORY, WHICH MAY BE TREATED BY THE COMPANY, THE TRUSTEE AND ANY AGENT THEREOF AS OWNER AND HOLDER OF THIS SECURITY FOR ALL PURPOSES. THIS GLOBAL SECURITY IS EXCHANGEABLE FOR SECURITIES REGISTERED IN THE NAME OF A PERSON OTHER THAN THE DEPOSITORY OR ITS NOMINEE ONLY IN THE LIMITED CIRCUMSTANCES HEREINAFTER DESCRIBED AND MAY NOT BE TRANSFERRED EXCEPT AS A WHOLE BY THE DEPOSITORY TO A NOMINEE OF THE DEPOSITORY OR BY A NOMINEE OF THE DEPOSITORY TO THE DEPOSITORY.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THIS SECURITY IS PRESENTED BY AN AUTHORIZED REPRESENTATIVE OF THE DEPOSITORY TRUST COMPANY, A NEW YORK CORPORATION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PLEDGE OR OTHERWISE TRANSFER SUCH SECURITY, PRIOR TO THE DATE (THE “RESALE RESTRICTION TERMINATION DATE”) THAT IS [IN THE CASE OF RULE 144A GLOBAL NOTES: ONE YEAR AFTER THE LATER OF THE ISSUE DATE HEREOF OR ANY OTHER ISSUE DATE IN RESPECT OF A FURTHER ISSUANCE OF SECURITIES OF THE SAME SERIES AND THE LAST DATE ON WHICH KIMBERLY-CLARK CORPORATION OR ANY AFFILIATE OF KIMBERLY-CLARK CORPORATION WAS THE OWNER OF THIS SECURITY (OR ANY PREDECESSOR OF SUCH SECURITY), ONLY (A) TO KIMBERLY-CLARK CORPORATION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 (E) 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[IN THE CASE OF REGULATION S NOTES: 40 DAYS AFTER THE LATER OF THE ISSUE DATE HEREOF OR ANY OTHER ISSUE DATE IN RESPECT OF A FURTHER ISSUANCE OF SECURITIES OF THE SAME SERIES AND THE DATE ON WHICH THIS SECURITY (OR ANY PREDECESSOR OF SUCH SECURITY) WAS FIRST OFFERED TO PERSONS OTHER THAN DISTRIBUTORS (AS DEFINED IN RULE 902 OF REGULATION S) IN RELIANCE ON REGULATION S, ONLY (A) TO KIMBERLY-CLARK CORPORATION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 (E) 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PROVIDED THAT PRIOR TO THE RESALE RESTRICTION TERMINATION DATE, THE HOLDER AGREES ON ITS OWN BEHALF AND ON BEHALF OF ANY INVESTOR ACCOUNT FOR WHICH IT HAS PURCHASED SECURITIES, TO NOT OFFER, SELL, PLEDGE OR OTHERWISE TRANSFER SUCH SECURITY TO A U.S. PERSON OR FOR THE ACCOUNT OR BENEFIT OF A U.S.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 w:name="page16"/>
    <w:bookmarkEnd w:id="1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BY ITS ACQUISITION HEREOF, THE HOLDER HEREOF AGREES THAT (A) IT IS NOT, AND WILL NOT BECOME (I) AN “EMPLOYEE BENEFIT PLAN” (AS DEFINED IN SECTION 3(3) OF THE EMPLOYEE RETIREMENT INCOME SECURITY ACT OF 1974, AS AMENDED (“ERISA”)) THAT IS SUBJECT TO TITLE I OF ERISA, (II) A PLAN DESCRIBED IN SECTION 4975(E)(1) OF THE INTERNAL REVENUE CODE OF 1986, AS AMENDED (THE “CODE”), THAT IS SUBJECT TO SECTION 4975 OF THE CODE, (III) A PLAN, INDIVIDUAL RETIREMENT ACCOUNT OR OTHER ARRANGEMENT THAT IS SUBJECT TO THE PROVISIONS OF ANY FEDERAL, STATE, LOCAL, NON-U.S. OR OTHER LAWS, RULES OR REGULATIONS THAT ARE SIMILAR TO SUCH PROVISIONS OF ERISA OR THE CODE (SUCH LAWS, COLLECTIVELY, “SIMILAR LAWS”) OR (IV) AN ENTITY OR ACCOUNT WHOSE UNDERLYING ASSETS ARE CONSIDERED TO INCLUDE THE ASSETS OF ANY SUCH PLAN OR ARRANGEMENT DESCRIBED IN (I), (II) OR (III) AND (B) ITS PURCHASE AND HOLDING OF THIS SECURITY, OR INTEREST THEREIN, WILL NOT CONSTITUTE OR RESULT IN A NON-EXEMPT PROHIBITED TRANSACTION UNDER SECTION 406 OF ERISA AND/OR SECTION 4975 OF THE CODE OR A VIOLATION OF ANY SIMILAR LAWS.</w:t>
      </w:r>
    </w:p>
    <w:p>
      <w:pPr>
        <w:spacing w:after="0" w:line="194"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[BY ITS ACQUISITION HEREOF, THE HOLDER HEREOF REPRESENTS THAT IT IS NOT A U.S. PERSON NOR IS IT PURCHASING FOR THE ACCOUNT OF A U.S. PERSON AND IS ACQUIRING THIS SECURITY IN AN OFFSHORE TRANSACTION IN ACCORDANCE WITH REGULATION S UNDER THE SECURITIES ACT.]</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17830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ind w:left="120" w:hanging="112"/>
        <w:spacing w:after="0"/>
        <w:tabs>
          <w:tab w:leader="none" w:pos="1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Applies to Regulation S Notes only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No. [A-[●] / S-[●]]</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CUSIP No. [494368 CG6 (144A) / U49436 AG0 (Reg S)] PRINCIPAL AMOUNT: $[●] ISIN No. [US494368CG68 (144A) / USU49436AG06 (Reg S)]</w:t>
      </w:r>
    </w:p>
    <w:p>
      <w:pPr>
        <w:spacing w:after="0" w:line="200" w:lineRule="exact"/>
        <w:rPr>
          <w:sz w:val="20"/>
          <w:szCs w:val="20"/>
          <w:color w:val="auto"/>
        </w:rPr>
      </w:pPr>
    </w:p>
    <w:p>
      <w:pPr>
        <w:spacing w:after="0" w:line="21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5.300% NOTES DUE OCTOBER 29, 2029</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Kimberly-Clark Corporation, a corporation duly incorporated and existing under the laws of the State of Delaware (hereinafter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corporation under the Indenture hereinafter referred to), for value received, hereby promises to pay to CEDE &amp; CO., or registered assigns, the principal sum of ($[●]) on October 29, 2029, and to pay interest thereon from October 29, 2026, or from the most recent Interest Payment Date to which interest has been paid or duly provided for semi-annually on April 29 and October 29 of each year, commencing April 29, 2027, at the rate of 5.300% per annum, until the principal hereof is paid or made available for payment. The interest so payable, and punctually paid or duly provided for, on any Interest Payment Date will, as provided in the Indenture, be paid to the Person in whose name this Security (or one or more Predecessor Securities) is registered at the close of business on the Regular Record Date for such interest, which shall be April 14 and October 14 (whether or not a Business Day), as the case may be, next preceding such Interest Payment Date. All references in this Security to any interest or other amount payable on or with respect to this Security will be deemed to include Additional Interest pursuant to the Registration Rights Agreement, if any. Any amounts of Additional Interest due will be payable in cash on the same original Interest Payment Dates as interest on this Security is payable.</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interest not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the Indenture.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or pdf or other electronically imaged (including, without limitation, DocuSign or AdobeSign) signature, this Security shall not be entitled to any benefit under the Indenture or be valid or obligatory for any purpose.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7"/>
          <w:szCs w:val="17"/>
          <w:color w:val="auto"/>
        </w:rPr>
        <w:t>IN WITNESS WHEREOF, the Company has caused this instrument to be duly executed under its corporate seal.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29,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AUTHENTICATION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series designated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 referred to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within-mentioned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successor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[Reverse of Note]</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5.300% NOTES DUE OCTOBER 29, 2029</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issued and to be issued in one or more series under a First Amended and Restated Indenture, dated as of March 1, 1988, as amended or supplemented from time to time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The Bank of New York Mellon Trust Company, N.A., as successor trustee and U.S. Bank Trust Company, National Association, as successor trustee in respect of the Future Notes (as defined in the Eighth Supplemental Indenture dated as of October 27, 2021)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$1,000,000,000.</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Prior to September 29, 2029 (one month prior to the maturity date of the Securities) (the “</w:t>
      </w:r>
      <w:r>
        <w:rPr>
          <w:rFonts w:ascii="Times New Roman" w:cs="Times New Roman" w:eastAsia="Times New Roman" w:hAnsi="Times New Roman"/>
          <w:sz w:val="18"/>
          <w:szCs w:val="18"/>
          <w:u w:val="single" w:color="auto"/>
          <w:color w:val="auto"/>
        </w:rPr>
        <w:t>Measurement Date</w:t>
      </w:r>
      <w:r>
        <w:rPr>
          <w:rFonts w:ascii="Times New Roman" w:cs="Times New Roman" w:eastAsia="Times New Roman" w:hAnsi="Times New Roman"/>
          <w:sz w:val="18"/>
          <w:szCs w:val="18"/>
          <w:color w:val="auto"/>
        </w:rPr>
        <w:t>”), the Company may redeem the Securities at its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the Securities matured on the Measurement Date) on a semi-annual basis (assuming a 360-day year consisting of twelve 30-day months) at the Treasury Rate plus 10 basis points less (b) interest accrued to, but excluding, the Redemption Date, and (2) 100% of the principal amount of the Securities to be redeemed, plus, in either case, accrued and unpaid interest thereon to, but excluding, the Redemption Date. On or after the Measurement Date, the Company may redeem the Securities, in whole or in part, at any time and from time to time, at a Redemption Price equal to 100% of the principal amount of the Securities being redeemed plus accrued and unpaid interest thereon to, but excluding, the Redemption Date.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the yield determined by the Company in accordance with the following two paragraphs.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will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8"/>
          <w:szCs w:val="18"/>
          <w:u w:val="single" w:color="auto"/>
          <w:color w:val="auto"/>
        </w:rPr>
        <w:t>H.15</w:t>
      </w:r>
      <w:r>
        <w:rPr>
          <w:rFonts w:ascii="Times New Roman" w:cs="Times New Roman" w:eastAsia="Times New Roman" w:hAnsi="Times New Roman"/>
          <w:sz w:val="18"/>
          <w:szCs w:val="18"/>
          <w:color w:val="auto"/>
        </w:rPr>
        <w:t>”) under the caption “U.S. government securities — Treasury constant maturities — Nominal” (or any successor caption or heading) (“</w:t>
      </w:r>
      <w:r>
        <w:rPr>
          <w:rFonts w:ascii="Times New Roman" w:cs="Times New Roman" w:eastAsia="Times New Roman" w:hAnsi="Times New Roman"/>
          <w:sz w:val="18"/>
          <w:szCs w:val="18"/>
          <w:u w:val="single" w:color="auto"/>
          <w:color w:val="auto"/>
        </w:rPr>
        <w:t>H.15 TCM</w:t>
      </w:r>
      <w:r>
        <w:rPr>
          <w:rFonts w:ascii="Times New Roman" w:cs="Times New Roman" w:eastAsia="Times New Roman" w:hAnsi="Times New Roman"/>
          <w:sz w:val="18"/>
          <w:szCs w:val="18"/>
          <w:color w:val="auto"/>
        </w:rPr>
        <w:t>”). In determining the Treasury Rate, the Company will select, as applicable: (1) the yield for the Treasury constant maturity on H.15 exactly equal to the period from the Redemption Date to the Measurement Date (the “</w:t>
      </w:r>
      <w:r>
        <w:rPr>
          <w:rFonts w:ascii="Times New Roman" w:cs="Times New Roman" w:eastAsia="Times New Roman" w:hAnsi="Times New Roman"/>
          <w:sz w:val="18"/>
          <w:szCs w:val="18"/>
          <w:u w:val="single" w:color="auto"/>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Measurement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or any successor designation or publication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Measurement Date, as applicable. If there is no United States Treasury security maturing on the Measurement Date but there are two or more United States Treasury securities with a maturity date equally distant from the Measurement Date, one with a maturity date preceding the Measurement Date and one with a maturity date following the Measurement Date, the Company will select the United States Treasury security with a maturity date preceding the Measurement Date. If there are two or more United States Treasury securities maturing on the Measurement Date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Notice of any redemption, other than any Special Mandatory Redemption, will be mailed or electronically delivered (or otherwise transmitted in accordance with the Depository’s procedures) at least 10 days but not more than 60 days before the Redemption Date to each Holder of Securities to be redeemed. Notice of any redemption of the Securities, other than any Special Mandatory Redemption, may, at the Company’s discretion, be given subject to one or more conditions precedent, including, but not limited to, completion of a corporate transaction. If such redemption is so subject to satisfaction of one or more conditions precedent, such notice shall describe each such condition, and, if applicable, will state that at the Company’s discretion, the Redemption Date may be delayed (including more than 60 days after the notice of redemption was given) until such time as any or all such conditions precedent will be satisfied (or waived by the Company in the Company’s sole discretion), or such notice may be rescinded in the event that any or all such conditions shall not have been satisfied or otherwise waived by the Redemption Date, or by the Redemption Date as so delayed. If any such redemption has been rescinded or delayed, the Company will provide written notice to the Trustee prior to the close of business two business days before the Redemption Date and, upon receipt, the Trustee will provide such notice to each Holder of the Securities. Once notice of redemption is mailed or sent, subject to the satisfaction or waiver (in the Company’s sole discretion) of any conditions precedent provided in the notice of redemption, the Securities called for redemption will become due and payable on the Redemption Date and at the applicable Redemption Price, plus accrued and unpaid interest to the Redemption Date.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case of a partial redemption, selection of the Securities for redemption will be made pro rata, by lot or by such other method as the Trustee in its sole discretion deems appropriate and fair. No Securities of a principal amount of $2,000 or less will be redeemed in part. If any Security is to be redeemed in part only, the notice of redemption that relates to the Security will state the portion of the principal amount of the Security to be redeemed. A new Security in a principal amount equal to the unredeemed portion of the Security will be issued in the name of the Holder of the Security upon surrender for cancellation of the original Security. For so long as the Securities are held by DTC (or another depositary), the redemption of the Securities, including the allocation of the Redemption Price among beneficial owners of the Securities, shall be done in accordance with the policies and procedures of the depositary.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Securities or portions thereof called for redemption.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will not be entitled to any sinking fund.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as defined in the Indenture, with respect to Securities of this series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entered into an Agreement and Plan of Merger, dated as of November 2, 2025 (as amended, supplemented or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Kenvue Inc., a Delaware corporation (“</w:t>
      </w:r>
      <w:r>
        <w:rPr>
          <w:rFonts w:ascii="Times New Roman" w:cs="Times New Roman" w:eastAsia="Times New Roman" w:hAnsi="Times New Roman"/>
          <w:sz w:val="18"/>
          <w:szCs w:val="18"/>
          <w:u w:val="single" w:color="auto"/>
          <w:color w:val="auto"/>
        </w:rPr>
        <w:t>Kenvue</w:t>
      </w:r>
      <w:r>
        <w:rPr>
          <w:rFonts w:ascii="Times New Roman" w:cs="Times New Roman" w:eastAsia="Times New Roman" w:hAnsi="Times New Roman"/>
          <w:sz w:val="18"/>
          <w:szCs w:val="18"/>
          <w:color w:val="auto"/>
        </w:rPr>
        <w:t>”), Vesta Sub I, Inc., a Delaware corporation and a direct wholly owned subsidiary of the Company (“</w:t>
      </w:r>
      <w:r>
        <w:rPr>
          <w:rFonts w:ascii="Times New Roman" w:cs="Times New Roman" w:eastAsia="Times New Roman" w:hAnsi="Times New Roman"/>
          <w:sz w:val="18"/>
          <w:szCs w:val="18"/>
          <w:u w:val="single" w:color="auto"/>
          <w:color w:val="auto"/>
        </w:rPr>
        <w:t>First Merger Sub</w:t>
      </w:r>
      <w:r>
        <w:rPr>
          <w:rFonts w:ascii="Times New Roman" w:cs="Times New Roman" w:eastAsia="Times New Roman" w:hAnsi="Times New Roman"/>
          <w:sz w:val="18"/>
          <w:szCs w:val="18"/>
          <w:color w:val="auto"/>
        </w:rPr>
        <w:t>”), and Vesta Sub II, LLC, a Delaware limited liability company and a direct wholly owned subsidiary of the Company (“</w:t>
      </w:r>
      <w:r>
        <w:rPr>
          <w:rFonts w:ascii="Times New Roman" w:cs="Times New Roman" w:eastAsia="Times New Roman" w:hAnsi="Times New Roman"/>
          <w:sz w:val="18"/>
          <w:szCs w:val="18"/>
          <w:u w:val="single" w:color="auto"/>
          <w:color w:val="auto"/>
        </w:rPr>
        <w:t>Second Merger Sub</w:t>
      </w:r>
      <w:r>
        <w:rPr>
          <w:rFonts w:ascii="Times New Roman" w:cs="Times New Roman" w:eastAsia="Times New Roman" w:hAnsi="Times New Roman"/>
          <w:sz w:val="18"/>
          <w:szCs w:val="18"/>
          <w:color w:val="auto"/>
        </w:rPr>
        <w:t>”). Under the terms of the Merger Agreement, First Merger Sub will merge with and into Kenvue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Kenvue surviving as a direct wholly owned subsidiary of the Company (the “</w:t>
      </w:r>
      <w:r>
        <w:rPr>
          <w:rFonts w:ascii="Times New Roman" w:cs="Times New Roman" w:eastAsia="Times New Roman" w:hAnsi="Times New Roman"/>
          <w:sz w:val="18"/>
          <w:szCs w:val="18"/>
          <w:u w:val="single" w:color="auto"/>
          <w:color w:val="auto"/>
        </w:rPr>
        <w:t>Initial Surviving Company</w:t>
      </w:r>
      <w:r>
        <w:rPr>
          <w:rFonts w:ascii="Times New Roman" w:cs="Times New Roman" w:eastAsia="Times New Roman" w:hAnsi="Times New Roman"/>
          <w:sz w:val="18"/>
          <w:szCs w:val="18"/>
          <w:color w:val="auto"/>
        </w:rPr>
        <w:t>”), and immediately following the First Merger, and as part of the same overall transaction as the First Merger, the Initial Surviving Company will merge with and into Second Merger Sub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with Second Merger Sub surviving the Second Merger as a direct wholly owned subsidiary of the Company.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(i) the First Merger has not been consummated prior to the date that is five (5) business days after the later of (x) May 31, 2027 or (y) any later date as the parties to the Merger Agreement may agree as the “Outside Date” thereunder or (ii) the Company notifies the Trustee that the Company will not pursue the consummation of the First Merger (each of (i) and (ii), a “</w:t>
      </w:r>
      <w:r>
        <w:rPr>
          <w:rFonts w:ascii="Times New Roman" w:cs="Times New Roman" w:eastAsia="Times New Roman" w:hAnsi="Times New Roman"/>
          <w:sz w:val="18"/>
          <w:szCs w:val="18"/>
          <w:u w:val="single" w:color="auto"/>
          <w:color w:val="auto"/>
        </w:rPr>
        <w:t>Special Mandatory Redemption Trigger</w:t>
      </w:r>
      <w:r>
        <w:rPr>
          <w:rFonts w:ascii="Times New Roman" w:cs="Times New Roman" w:eastAsia="Times New Roman" w:hAnsi="Times New Roman"/>
          <w:sz w:val="18"/>
          <w:szCs w:val="18"/>
          <w:color w:val="auto"/>
        </w:rPr>
        <w:t>”), then the Company will be required to redeem all outstanding Securities (such redemption, the “</w:t>
      </w:r>
      <w:r>
        <w:rPr>
          <w:rFonts w:ascii="Times New Roman" w:cs="Times New Roman" w:eastAsia="Times New Roman" w:hAnsi="Times New Roman"/>
          <w:sz w:val="18"/>
          <w:szCs w:val="18"/>
          <w:u w:val="single" w:color="auto"/>
          <w:color w:val="auto"/>
        </w:rPr>
        <w:t>Special Mandatory Redemption</w:t>
      </w:r>
      <w:r>
        <w:rPr>
          <w:rFonts w:ascii="Times New Roman" w:cs="Times New Roman" w:eastAsia="Times New Roman" w:hAnsi="Times New Roman"/>
          <w:sz w:val="18"/>
          <w:szCs w:val="18"/>
          <w:color w:val="auto"/>
        </w:rPr>
        <w:t>”) at a special mandatory Redemption Price equal to 101% of the aggregate principal amount of the Securities, plus accrued and unpaid interest, if any, to, but not including, the Special Mandatory Redemption Date (the “</w:t>
      </w:r>
      <w:r>
        <w:rPr>
          <w:rFonts w:ascii="Times New Roman" w:cs="Times New Roman" w:eastAsia="Times New Roman" w:hAnsi="Times New Roman"/>
          <w:sz w:val="18"/>
          <w:szCs w:val="18"/>
          <w:u w:val="single" w:color="auto"/>
          <w:color w:val="auto"/>
        </w:rPr>
        <w:t>Special Mandatory Redemption Price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that the Company becomes obligated to redeem the Securities pursuant to the Special Mandatory Redemption, the Company will promptly, and in any event not more than ten (10) business days after the date on which a Special Mandatory Redemption Trigger occurred, deliver notice to the Trustee of the Special Mandatory Redemption and the date upon which the Securities will be redeemed (the “</w:t>
      </w:r>
      <w:r>
        <w:rPr>
          <w:rFonts w:ascii="Times New Roman" w:cs="Times New Roman" w:eastAsia="Times New Roman" w:hAnsi="Times New Roman"/>
          <w:sz w:val="18"/>
          <w:szCs w:val="18"/>
          <w:u w:val="single" w:color="auto"/>
          <w:color w:val="auto"/>
        </w:rPr>
        <w:t>Special Mandatory Redemption Date</w:t>
      </w:r>
      <w:r>
        <w:rPr>
          <w:rFonts w:ascii="Times New Roman" w:cs="Times New Roman" w:eastAsia="Times New Roman" w:hAnsi="Times New Roman"/>
          <w:sz w:val="18"/>
          <w:szCs w:val="18"/>
          <w:color w:val="auto"/>
        </w:rPr>
        <w:t>,” which date shall be no earlier than five (5) days and no later than thirty (30) days following the date of such notice, unless some longer minimum period may be required by DTC (or any successor depositary selected or approved by the Company)). The Trustee will then promptly mail, or electronically deliver, according to the procedures of DTC, such notice of Special Mandatory Redemption to each Holder of the Securities to be redeemed. Unless the Company defaults in payment of the Special Mandatory Redemption Price, on and after such Special Mandatory Redemption Date, interest will cease to accrue on the Securities to be redeemed.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any series of the Securities that are due and payable on Interest Payment Dates falling on or prior to the Special Mandatory Redemption Date will be payable on such Interest Payment Dates to the Holders as of the close of business on the Regular Record Dates for the payment of interest in accordance with the Securities and the Indenture.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consummation of the First Merger, the foregoing provisions regarding the Special Mandatory Redemption will cease to apply. For purposes of the foregoing, the First Merger will be deemed consummated if the closing of the First Merger as contemplated under the Merger Agreement occurs, including after giving effect to any amendments, modifications or waivers to the Merger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a majority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(a) the entire indebtedness on this Security and (b) certain restrictive covenants and certain Events of Default, upon compliance by the Company with certain conditions set forth therein, which provisions apply to this Security.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due presentment for registration of transfer of this Security at the office or agency of the Trustee maintained for that purpose in St. Paul, Minnesota, a new Security or Securities of this series in authorized denominations for an equal aggregate principal amount will be issued to the transferee in exchange herefor, as provided in the Indenture and subject to the limitations provided therein and to the limitations described below, without charge except for any tax or other governmental charge imposed in connection therewith.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Security is exchangeable for definitive Securities in registered form only if (x) the Depository notifies the Company that it is unwilling or unable to continue as Depository for this Security or if at any time the Depository ceases to be a clearing agency registered under the Securities Exchange Act of 1934, as amended, or (y) the Company in its sole discretion determines that this Security shall be exchangeable for definitive Securities in registered form and notifies the Trustee thereof. If this Security is exchangeable pursuant to the preceding sentence, it shall be exchangeable for definitive Securities in registered form in denominations of $2,000 and any integral multiple of $1,000 in excess thereof, registered in such names as such Depository shall direct, bearing interest at the same rate, having the same date of issuance, redemption provisions, Stated Maturity and other terms and of differing denominations aggregating a like amount.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Security may not be transferred except as a whole by the Depository to a nominee of the Depository, or by a nominee of the Depository to the Depository or another nominee of the Depository, or by the Depository or any such nominee to a successor of the Depository or a nominee of such successor. Except as provided above, owners of beneficial interests in this global Security will not be entitled to receive physical delivery of Securities in definitive form and will not be considered the Holders hereof for any purpose under the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premium, if any) and interest on this Security at the times, place and rate, and in the coin or currency, herein prescribed, except that in the event the Company deposits money or Government Obligations as provided in Sections 402 or 1006 of the Indenture, such payments will be made only from proceeds of such money or Government Obligations.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premium, if any) or the interest on this Security, or for any claim based hereon, or otherwise in respect hereof, or based on or in respect of the Indenture or any indenture supplemental thereto, against any incorporator, stockholder, officer or director, as such, past, present or future, of the Company or any successor corporation, whether by virtue of any constitution, statute or rule of law, or by the enforcement of any assessment or penalty or otherwise, all such liability being, by the acceptance hereof and as part of the consideration for the issuance hereof, expressly waived and released.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Anything in the Indenture or the Security of this series to the contrary notwithstanding, for the purposes of the transactions contemplated by the Indenture relating to the Security of this series, the Security of this series and any document to be signed in connection with the Indenture or such Security (including the Securities of this series and amendments, supplements, waivers, consents and other modifications, Officers’ Certificates, Company Orders and Opinions of Counsel and other issuance, authentication and delivery documents) or the transactions contemplated hereby may be signed by manual signatures that are scanned, photocopied or faxed or other electronic signatures created on an electronic platform (such as DocuSign) or by digital signature (such as Adobe Sign), in each case that is approved by the Trustee, and contract formations on electronic platforms approved by the Trustee, and the keeping of records in electronic form, are hereby authorized, and each shall be of the same legal effect, validity or enforceability as a manually executed signature in ink or the use of a paper-based recordkeeping system, as the case may be.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in this Security which are defined in the Indenture shall have the meanings assigned to them in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10240"/>
        <w:spacing w:after="0"/>
        <w:rPr>
          <w:sz w:val="20"/>
          <w:szCs w:val="20"/>
          <w:color w:val="auto"/>
        </w:rPr>
      </w:pPr>
      <w:r>
        <w:rPr>
          <w:rFonts w:ascii="Times New Roman" w:cs="Times New Roman" w:eastAsia="Times New Roman" w:hAnsi="Times New Roman"/>
          <w:sz w:val="21"/>
          <w:szCs w:val="21"/>
          <w:b w:val="1"/>
          <w:bCs w:val="1"/>
          <w:color w:val="auto"/>
        </w:rPr>
        <w:t>Exhibit 4.3</w:t>
      </w:r>
    </w:p>
    <w:p>
      <w:pPr>
        <w:spacing w:after="0" w:line="2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A DEPOSITORY OR A NOMINEE OF A DEPOSITORY, WHICH MAY BE TREATED BY THE COMPANY, THE TRUSTEE AND ANY AGENT THEREOF AS OWNER AND HOLDER OF THIS SECURITY FOR ALL PURPOSES. THIS GLOBAL SECURITY IS EXCHANGEABLE FOR SECURITIES REGISTERED IN THE NAME OF A PERSON OTHER THAN THE DEPOSITORY OR ITS NOMINEE ONLY IN THE LIMITED CIRCUMSTANCES HEREINAFTER DESCRIBED AND MAY NOT BE TRANSFERRED EXCEPT AS A WHOLE BY THE DEPOSITORY TO A NOMINEE OF THE DEPOSITORY OR BY A NOMINEE OF THE DEPOSITORY TO THE DEPOSITORY.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THIS SECURITY IS PRESENTED BY AN AUTHORIZED REPRESENTATIVE OF THE DEPOSITORY TRUST COMPANY, A NEW YORK CORPORATION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PLEDGE OR OTHERWISE TRANSFER SUCH SECURITY, PRIOR TO THE DATE (THE “RESALE RESTRICTION TERMINATION DATE”) THAT IS [IN THE CASE OF RULE 144A GLOBAL NOTES: ONE YEAR AFTER THE LATER OF THE ISSUE DATE HEREOF OR ANY OTHER ISSUE DATE IN RESPECT OF A FURTHER ISSUANCE OF SECURITIES OF THE SAME SERIES AND THE LAST DATE ON WHICH KIMBERLY-CLARK CORPORATION OR ANY AFFILIATE OF KIMBERLY-CLARK CORPORATION WAS THE OWNER OF THIS SECURITY (OR ANY PREDECESSOR OF SUCH SECURITY), ONLY (A) TO KIMBERLY-CLARK CORPORATION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 (E) 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[IN THE CASE OF REGULATION S NOTES: 40 DAYS AFTER THE LATER OF THE ISSUE DATE HEREOF OR ANY OTHER ISSUE DATE IN RESPECT OF A FURTHER ISSUANCE OF SECURITIES OF THE SAME SERIES AND THE DATE ON WHICH THIS SECURITY (OR ANY PREDECESSOR OF SUCH SECURITY) WAS FIRST OFFERED TO PERSONS OTHER THAN DISTRIBUTORS (AS DEFINED IN RULE 902 OF REGULATION S) IN RELIANCE ON REGULATION S, ONLY (A) TO KIMBERLY-CLARK CORPORATION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 (E) 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PROVIDED THAT PRIOR TO THE RESALE RESTRICTION TERMINATION DATE, THE HOLDER AGREES ON ITS OWN BEHALF AND ON BEHALF OF ANY INVESTOR ACCOUNT FOR WHICH IT HAS PURCHASED SECURITIES, TO NOT OFFER, SELL, PLEDGE OR OTHERWISE TRANSFER SUCH SECURITY TO A U.S. PERSON OR FOR THE ACCOUNT OR BENEFIT OF A U.S.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4" w:name="page25"/>
    <w:bookmarkEnd w:id="2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BY ITS ACQUISITION HEREOF, THE HOLDER HEREOF AGREES THAT (A) IT IS NOT, AND WILL NOT BECOME (I) AN “EMPLOYEE BENEFIT PLAN” (AS DEFINED IN SECTION 3(3) OF THE EMPLOYEE RETIREMENT INCOME SECURITY ACT OF 1974, AS AMENDED (“ERISA”)) THAT IS SUBJECT TO TITLE I OF ERISA, (II) A PLAN DESCRIBED IN SECTION 4975(E)(1) OF THE INTERNAL REVENUE CODE OF 1986, AS AMENDED (THE “CODE”), THAT IS SUBJECT TO SECTION 4975 OF THE CODE, (III) A PLAN, INDIVIDUAL RETIREMENT ACCOUNT OR OTHER ARRANGEMENT THAT IS SUBJECT TO THE PROVISIONS OF ANY FEDERAL, STATE, LOCAL, NON-U.S. OR OTHER LAWS, RULES OR REGULATIONS THAT ARE SIMILAR TO SUCH PROVISIONS OF ERISA OR THE CODE (SUCH LAWS, COLLECTIVELY, “SIMILAR LAWS”) OR (IV) AN ENTITY OR ACCOUNT WHOSE UNDERLYING ASSETS ARE CONSIDERED TO INCLUDE THE ASSETS OF ANY SUCH PLAN OR ARRANGEMENT DESCRIBED IN (I), (II) OR (III) AND (B) ITS PURCHASE AND HOLDING OF THIS SECURITY, OR INTEREST THEREIN, WILL NOT CONSTITUTE OR RESULT IN A NON-EXEMPT PROHIBITED TRANSACTION UNDER SECTION 406 OF ERISA AND/OR SECTION 4975 OF THE CODE OR A VIOLATION OF ANY SIMILAR LAWS.</w:t>
      </w:r>
    </w:p>
    <w:p>
      <w:pPr>
        <w:spacing w:after="0" w:line="194"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[BY ITS ACQUISITION HEREOF, THE HOLDER HEREOF REPRESENTS THAT IT IS NOT A U.S. PERSON NOR IS IT PURCHASING FOR THE ACCOUNT OF A U.S. PERSON AND IS ACQUIRING THIS SECURITY IN AN OFFSHORE TRANSACTION IN ACCORDANCE WITH REGULATION S UNDER THE SECURITIES ACT.]</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17830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ind w:left="120" w:hanging="112"/>
        <w:spacing w:after="0"/>
        <w:tabs>
          <w:tab w:leader="none" w:pos="12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Applies to Regulation S Notes only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No. [A-[●] / S-[●]]</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CUSIP No. [494368 CH4 (144A) / U49436 AH8 (Reg S)] PRINCIPAL AMOUNT: $[●] ISIN No. [US494368CH42 (144A) / USU49436AH88 (Reg S)]</w:t>
      </w:r>
    </w:p>
    <w:p>
      <w:pPr>
        <w:spacing w:after="0" w:line="200" w:lineRule="exact"/>
        <w:rPr>
          <w:sz w:val="20"/>
          <w:szCs w:val="20"/>
          <w:color w:val="auto"/>
        </w:rPr>
      </w:pPr>
    </w:p>
    <w:p>
      <w:pPr>
        <w:spacing w:after="0" w:line="21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5.450% NOTES DUE OCTOBER 29, 2031</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Kimberly-Clark Corporation, a corporation duly incorporated and existing under the laws of the State of Delaware (hereinafter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corporation under the Indenture hereinafter referred to), for value received, hereby promises to pay to CEDE &amp; CO., or registered assigns, the principal sum of ($[●]) on October 29, 2031, and to pay interest thereon from October 29, 2026, or from the most recent Interest Payment Date to which interest has been paid or duly provided for semi-annually on April 29 and October 29 of each year, commencing April 29, 2027, at the rate of 5.450% per annum, until the principal hereof is paid or made available for payment. The interest so payable, and punctually paid or duly provided for, on any Interest Payment Date will, as provided in the Indenture, be paid to the Person in whose name this Security (or one or more Predecessor Securities) is registered at the close of business on the Regular Record Date for such interest, which shall be April 14 and October 14 (whether or not a Business Day), as the case may be, next preceding such Interest Payment Date. All references in this Security to any interest or other amount payable on or with respect to this Security will be deemed to include Additional Interest pursuant to the Registration Rights Agreement, if any. Any amounts of Additional Interest due will be payable in cash on the same original Interest Payment Dates as interest on this Security is payable.</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interest not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the Indenture.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or pdf or other electronically imaged (including, without limitation, DocuSign or AdobeSign) signature, this Security shall not be entitled to any benefit under the Indenture or be valid or obligatory for any purpose.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7"/>
          <w:szCs w:val="17"/>
          <w:color w:val="auto"/>
        </w:rPr>
        <w:t>IN WITNESS WHEREOF, the Company has caused this instrument to be duly executed under its corporate seal.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29,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AUTHENTICATION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series designated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 referred to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within-mentioned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successor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color w:val="auto"/>
        </w:rPr>
        <w:t>[Reverse of Note]</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5.450% NOTES DUE OCTOBER 29, 2031</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issued and to be issued in one or more series under a First Amended and Restated Indenture, dated as of March 1, 1988, as amended or supplemented from time to time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The Bank of New York Mellon Trust Company, N.A., as successor trustee and U.S. Bank Trust Company, National Association, as successor trustee in respect of the Future Notes (as defined in the Eighth Supplemental Indenture dated as of October 27, 2021)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$1,250,000,000.</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Prior to September 29, 2031 (one month prior to the maturity date of the Securities) (the “</w:t>
      </w:r>
      <w:r>
        <w:rPr>
          <w:rFonts w:ascii="Times New Roman" w:cs="Times New Roman" w:eastAsia="Times New Roman" w:hAnsi="Times New Roman"/>
          <w:sz w:val="18"/>
          <w:szCs w:val="18"/>
          <w:u w:val="single" w:color="auto"/>
          <w:color w:val="auto"/>
        </w:rPr>
        <w:t>Measurement Date</w:t>
      </w:r>
      <w:r>
        <w:rPr>
          <w:rFonts w:ascii="Times New Roman" w:cs="Times New Roman" w:eastAsia="Times New Roman" w:hAnsi="Times New Roman"/>
          <w:sz w:val="18"/>
          <w:szCs w:val="18"/>
          <w:color w:val="auto"/>
        </w:rPr>
        <w:t>”), the Company may redeem the Securities at its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the Securities matured on the Measurement Date) on a semi-annual basis (assuming a 360-day year consisting of twelve 30-day months) at the Treasury Rate plus 10 basis points less (b) interest accrued to, but excluding, the Redemption Date, and (2) 100% of the principal amount of the Securities to be redeemed, plus, in either case, accrued and unpaid interest thereon to, but excluding, the Redemption Date. On or after the Measurement Date, the Company may redeem the Securities, in whole or in part, at any time and from time to time, at a Redemption Price equal to 100% of the principal amount of the Securities being redeemed plus accrued and unpaid interest thereon to, but excluding, the Redemption Date.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in accordance with the following two paragraphs.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will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8"/>
          <w:szCs w:val="18"/>
          <w:u w:val="single" w:color="auto"/>
          <w:color w:val="auto"/>
        </w:rPr>
        <w:t>H.15</w:t>
      </w:r>
      <w:r>
        <w:rPr>
          <w:rFonts w:ascii="Times New Roman" w:cs="Times New Roman" w:eastAsia="Times New Roman" w:hAnsi="Times New Roman"/>
          <w:sz w:val="18"/>
          <w:szCs w:val="18"/>
          <w:color w:val="auto"/>
        </w:rPr>
        <w:t>”) under the caption “U.S. government securities — Treasury constant maturities — Nominal” (or any successor caption or heading) (“</w:t>
      </w:r>
      <w:r>
        <w:rPr>
          <w:rFonts w:ascii="Times New Roman" w:cs="Times New Roman" w:eastAsia="Times New Roman" w:hAnsi="Times New Roman"/>
          <w:sz w:val="18"/>
          <w:szCs w:val="18"/>
          <w:u w:val="single" w:color="auto"/>
          <w:color w:val="auto"/>
        </w:rPr>
        <w:t>H.15 TCM</w:t>
      </w:r>
      <w:r>
        <w:rPr>
          <w:rFonts w:ascii="Times New Roman" w:cs="Times New Roman" w:eastAsia="Times New Roman" w:hAnsi="Times New Roman"/>
          <w:sz w:val="18"/>
          <w:szCs w:val="18"/>
          <w:color w:val="auto"/>
        </w:rPr>
        <w:t>”). In determining the Treasury Rate, the Company will select, as applicable: (1) the yield for the Treasury constant maturity on H.15 exactly equal to the period from the Redemption Date to the Measurement Date (the “</w:t>
      </w:r>
      <w:r>
        <w:rPr>
          <w:rFonts w:ascii="Times New Roman" w:cs="Times New Roman" w:eastAsia="Times New Roman" w:hAnsi="Times New Roman"/>
          <w:sz w:val="18"/>
          <w:szCs w:val="18"/>
          <w:u w:val="single" w:color="auto"/>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Measurement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or any successor designation or publication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Measurement Date, as applicable. If there is no United States Treasury security maturing on the Measurement Date but there are two or more United States Treasury securities with a maturity date equally distant from the Measurement Date, one with a maturity date preceding the Measurement Date and one with a maturity date following the Measurement Date, the Company will select the United States Treasury security with a maturity date preceding the Measurement Date. If there are two or more United States Treasury securities maturing on the Measurement Date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Notice of any redemption, other than any Special Mandatory Redemption, will be mailed or electronically delivered (or otherwise transmitted in accordance with the Depository’s procedures) at least 10 days but not more than 60 days before the Redemption Date to each Holder of Securities to be redeemed. Notice of any redemption of the Securities, other than any Special Mandatory Redemption, may, at the Company’s discretion, be given subject to one or more conditions precedent, including, but not limited to, completion of a corporate transaction. If such redemption is so subject to satisfaction of one or more conditions precedent, such notice shall describe each such condition, and, if applicable, will state that at the Company’s discretion, the Redemption Date may be delayed (including more than 60 days after the notice of redemption was given) until such time as any or all such conditions precedent will be satisfied (or waived by the Company in the Company’s sole discretion), or such notice may be rescinded in the event that any or all such conditions shall not have been satisfied or otherwise waived by the Redemption Date, or by the Redemption Date as so delayed. If any such redemption has been rescinded or delayed, the Company will provide written notice to the Trustee prior to the close of business two business days before the Redemption Date and, upon receipt, the Trustee will provide such notice to each Holder of the Securities. Once notice of redemption is mailed or sent, subject to the satisfaction or waiver (in the Company’s sole discretion) of any conditions precedent provided in the notice of redemption, the Securities called for redemption will become due and payable on the Redemption Date and at the applicable Redemption Price, plus accrued and unpaid interest to the Redemption Date.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case of a partial redemption, selection of the Securities for redemption will be made pro rata, by lot or by such other method as the Trustee in its sole discretion deems appropriate and fair. No Securities of a principal amount of $2,000 or less will be redeemed in part. If any Security is to be redeemed in part only, the notice of redemption that relates to the Security will state the portion of the principal amount of the Security to be redeemed. A new Security in a principal amount equal to the unredeemed portion of the Security will be issued in the name of the Holder of the Security upon surrender for cancellation of the original Security. For so long as the Securities are held by DTC (or another depositary), the redemption of the Securities, including the allocation of the Redemption Price among beneficial owners of the Securities, shall be done in accordance with the policies and procedures of the depositary.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Securities or portions thereof called for redemption.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will not be entitled to any sinking fund.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as defined in the Indenture, with respect to Securities of this series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entered into an Agreement and Plan of Merger, dated as of November 2, 2025 (as amended, supplemented or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Kenvue Inc., a Delaware corporation (“</w:t>
      </w:r>
      <w:r>
        <w:rPr>
          <w:rFonts w:ascii="Times New Roman" w:cs="Times New Roman" w:eastAsia="Times New Roman" w:hAnsi="Times New Roman"/>
          <w:sz w:val="18"/>
          <w:szCs w:val="18"/>
          <w:u w:val="single" w:color="auto"/>
          <w:color w:val="auto"/>
        </w:rPr>
        <w:t>Kenvue</w:t>
      </w:r>
      <w:r>
        <w:rPr>
          <w:rFonts w:ascii="Times New Roman" w:cs="Times New Roman" w:eastAsia="Times New Roman" w:hAnsi="Times New Roman"/>
          <w:sz w:val="18"/>
          <w:szCs w:val="18"/>
          <w:color w:val="auto"/>
        </w:rPr>
        <w:t>”), Vesta Sub I, Inc., a Delaware corporation and a direct wholly owned subsidiary of the Company (“</w:t>
      </w:r>
      <w:r>
        <w:rPr>
          <w:rFonts w:ascii="Times New Roman" w:cs="Times New Roman" w:eastAsia="Times New Roman" w:hAnsi="Times New Roman"/>
          <w:sz w:val="18"/>
          <w:szCs w:val="18"/>
          <w:u w:val="single" w:color="auto"/>
          <w:color w:val="auto"/>
        </w:rPr>
        <w:t>First Merger Sub</w:t>
      </w:r>
      <w:r>
        <w:rPr>
          <w:rFonts w:ascii="Times New Roman" w:cs="Times New Roman" w:eastAsia="Times New Roman" w:hAnsi="Times New Roman"/>
          <w:sz w:val="18"/>
          <w:szCs w:val="18"/>
          <w:color w:val="auto"/>
        </w:rPr>
        <w:t>”), and Vesta Sub II, LLC, a Delaware limited liability company and a direct wholly owned subsidiary of the Company (“</w:t>
      </w:r>
      <w:r>
        <w:rPr>
          <w:rFonts w:ascii="Times New Roman" w:cs="Times New Roman" w:eastAsia="Times New Roman" w:hAnsi="Times New Roman"/>
          <w:sz w:val="18"/>
          <w:szCs w:val="18"/>
          <w:u w:val="single" w:color="auto"/>
          <w:color w:val="auto"/>
        </w:rPr>
        <w:t>Second Merger Sub</w:t>
      </w:r>
      <w:r>
        <w:rPr>
          <w:rFonts w:ascii="Times New Roman" w:cs="Times New Roman" w:eastAsia="Times New Roman" w:hAnsi="Times New Roman"/>
          <w:sz w:val="18"/>
          <w:szCs w:val="18"/>
          <w:color w:val="auto"/>
        </w:rPr>
        <w:t>”). Under the terms of the Merger Agreement, First Merger Sub will merge with and into Kenvue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Kenvue surviving as a direct wholly owned subsidiary of the Company (the “</w:t>
      </w:r>
      <w:r>
        <w:rPr>
          <w:rFonts w:ascii="Times New Roman" w:cs="Times New Roman" w:eastAsia="Times New Roman" w:hAnsi="Times New Roman"/>
          <w:sz w:val="18"/>
          <w:szCs w:val="18"/>
          <w:u w:val="single" w:color="auto"/>
          <w:color w:val="auto"/>
        </w:rPr>
        <w:t>Initial Surviving Company</w:t>
      </w:r>
      <w:r>
        <w:rPr>
          <w:rFonts w:ascii="Times New Roman" w:cs="Times New Roman" w:eastAsia="Times New Roman" w:hAnsi="Times New Roman"/>
          <w:sz w:val="18"/>
          <w:szCs w:val="18"/>
          <w:color w:val="auto"/>
        </w:rPr>
        <w:t>”), and immediately following the First Merger, and as part of the same overall transaction as the First Merger, the Initial Surviving Company will merge with and into Second Merger Sub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with Second Merger Sub surviving the Second Merger as a direct wholly owned subsidiary of the Company.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(i) the First Merger has not been consummated prior to the date that is five (5) business days after the later of (x) May 31, 2027 or (y) any later date as the parties to the Merger Agreement may agree as the “Outside Date” thereunder or (ii) the Company notifies the Trustee that the Company will not pursue the consummation of the First Merger (each of (i) and (ii), a “</w:t>
      </w:r>
      <w:r>
        <w:rPr>
          <w:rFonts w:ascii="Times New Roman" w:cs="Times New Roman" w:eastAsia="Times New Roman" w:hAnsi="Times New Roman"/>
          <w:sz w:val="18"/>
          <w:szCs w:val="18"/>
          <w:u w:val="single" w:color="auto"/>
          <w:color w:val="auto"/>
        </w:rPr>
        <w:t>Special Mandatory Redemption Trigger</w:t>
      </w:r>
      <w:r>
        <w:rPr>
          <w:rFonts w:ascii="Times New Roman" w:cs="Times New Roman" w:eastAsia="Times New Roman" w:hAnsi="Times New Roman"/>
          <w:sz w:val="18"/>
          <w:szCs w:val="18"/>
          <w:color w:val="auto"/>
        </w:rPr>
        <w:t>”), then the Company will be required to redeem all outstanding Securities (such redemption, the “</w:t>
      </w:r>
      <w:r>
        <w:rPr>
          <w:rFonts w:ascii="Times New Roman" w:cs="Times New Roman" w:eastAsia="Times New Roman" w:hAnsi="Times New Roman"/>
          <w:sz w:val="18"/>
          <w:szCs w:val="18"/>
          <w:u w:val="single" w:color="auto"/>
          <w:color w:val="auto"/>
        </w:rPr>
        <w:t>Special Mandatory Redemption</w:t>
      </w:r>
      <w:r>
        <w:rPr>
          <w:rFonts w:ascii="Times New Roman" w:cs="Times New Roman" w:eastAsia="Times New Roman" w:hAnsi="Times New Roman"/>
          <w:sz w:val="18"/>
          <w:szCs w:val="18"/>
          <w:color w:val="auto"/>
        </w:rPr>
        <w:t>”) at a special mandatory Redemption Price equal to 101% of the aggregate principal amount of the Securities, plus accrued and unpaid interest, if any, to, but not including, the Special Mandatory Redemption Date (the “</w:t>
      </w:r>
      <w:r>
        <w:rPr>
          <w:rFonts w:ascii="Times New Roman" w:cs="Times New Roman" w:eastAsia="Times New Roman" w:hAnsi="Times New Roman"/>
          <w:sz w:val="18"/>
          <w:szCs w:val="18"/>
          <w:u w:val="single" w:color="auto"/>
          <w:color w:val="auto"/>
        </w:rPr>
        <w:t>Special Mandatory Redemption Price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that the Company becomes obligated to redeem the Securities pursuant to the Special Mandatory Redemption, the Company will promptly, and in any event not more than ten (10) business days after the date on which a Special Mandatory Redemption Trigger occurred, deliver notice to the Trustee of the Special Mandatory Redemption and the date upon which the Securities will be redeemed (the “</w:t>
      </w:r>
      <w:r>
        <w:rPr>
          <w:rFonts w:ascii="Times New Roman" w:cs="Times New Roman" w:eastAsia="Times New Roman" w:hAnsi="Times New Roman"/>
          <w:sz w:val="18"/>
          <w:szCs w:val="18"/>
          <w:u w:val="single" w:color="auto"/>
          <w:color w:val="auto"/>
        </w:rPr>
        <w:t>Special Mandatory Redemption Date</w:t>
      </w:r>
      <w:r>
        <w:rPr>
          <w:rFonts w:ascii="Times New Roman" w:cs="Times New Roman" w:eastAsia="Times New Roman" w:hAnsi="Times New Roman"/>
          <w:sz w:val="18"/>
          <w:szCs w:val="18"/>
          <w:color w:val="auto"/>
        </w:rPr>
        <w:t>,” which date shall be no earlier than five (5) days and no later than thirty (30) days following the date of such notice, unless some longer minimum period may be required by DTC (or any successor depositary selected or approved by the Company)). The Trustee will then promptly mail, or electronically deliver, according to the procedures of DTC, such notice of Special Mandatory Redemption to each Holder of the Securities to be redeemed. Unless the Company defaults in payment of the Special Mandatory Redemption Price, on and after such Special Mandatory Redemption Date, interest will cease to accrue on the Securities to be redeemed.</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any series of the Securities that are due and payable on Interest Payment Dates falling on or prior to the Special Mandatory Redemption Date will be payable on such Interest Payment Dates to the Holders as of the close of business on the Regular Record Dates for the payment of interest in accordance with the Securities and the Indenture.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consummation of the First Merger, the foregoing provisions regarding the Special Mandatory Redemption will cease to apply. For purposes of the foregoing, the First Merger will be deemed consummated if the closing of the First Merger as contemplated under the Merger Agreement occurs, including after giving effect to any amendments, modifications or waivers to the Merger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a majority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(a) the entire indebtedness on this Security and (b) certain restrictive covenants and certain Events of Default, upon compliance by the Company with certain conditions set forth therein, which provisions apply to this Security.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due presentment for registration of transfer of this Security at the office or agency of the Trustee maintained for that purpose in St. Paul, Minnesota, a new Security or Securities of this series in authorized denominations for an equal aggregate principal amount will be issued to the transferee in exchange herefor, as provided in the Indenture and subject to the limitations provided therein and to the limitations described below, without charge except for any tax or other governmental charge imposed in connection therewith.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Security is exchangeable for definitive Securities in registered form only if (x) the Depository notifies the Company that it is unwilling or unable to continue as Depository for this Security or if at any time the Depository ceases to be a clearing agency registered under the Securities Exchange Act of 1934, as amended, or (y) the Company in its sole discretion determines that this Security shall be exchangeable for definitive Securities in registered form and notifies the Trustee thereof. If this Security is exchangeable pursuant to the preceding sentence, it shall be exchangeable for definitive Securities in registered form in denominations of $2,000 and any integral multiple of $1,000 in excess thereof, registered in such names as such Depository shall direct, bearing interest at the same rate, having the same date of issuance, redemption provisions, Stated Maturity and other terms and of differing denominations aggregating a like amount.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Security may not be transferred except as a whole by the Depository to a nominee of the Depository, or by a nominee of the Depository to the Depository or another nominee of the Depository, or by the Depository or any such nominee to a successor of the Depository or a nominee of such successor. Except as provided above, owners of beneficial interests in this global Security will not be entitled to receive physical delivery of Securities in definitive form and will not be considered the Holders hereof for any purpose under the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premium, if any) and interest on this Security at the times, place and rate, and in the coin or currency, herein prescribed, except that in the event the Company deposits money or Government Obligations as provided in Sections 402 or 1006 of the Indenture, such payments will be made only from proceeds of such money or Government Obligations.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premium, if any) or the interest on this Security, or for any claim based hereon, or otherwise in respect hereof, or based on or in respect of the Indenture or any indenture supplemental thereto, against any incorporator, stockholder, officer or director, as such, past, present or future, of the Company or any successor corporation, whether by virtue of any constitution, statute or rule of law, or by the enforcement of any assessment or penalty or otherwise, all such liability being, by the acceptance hereof and as part of the consideration for the issuance hereof, expressly waived and released.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Anything in the Indenture or the Security of this series to the contrary notwithstanding, for the purposes of the transactions contemplated by the Indenture relating to the Security of this series, the Security of this series and any document to be signed in connection with the Indenture or such Security (including the Securities of this series and amendments, supplements, waivers, consents and other modifications, Officers’ Certificates, Company Orders and Opinions of Counsel and other issuance, authentication and delivery documents) or the transactions contemplated hereby may be signed by manual signatures that are scanned, photocopied or faxed or other electronic signatures created on an electronic platform (such as DocuSign) or by digital signature (such as Adobe Sign), in each case that is approved by the Trustee, and contract formations on electronic platforms approved by the Trustee, and the keeping of records in electronic form, are hereby authorized, and each shall be of the same legal effect, validity or enforceability as a manually executed signature in ink or the use of a paper-based recordkeeping system, as the case may be.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in this Security which are defined in the Indenture shall have the meanings assigned to them in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10240"/>
        <w:spacing w:after="0"/>
        <w:rPr>
          <w:sz w:val="20"/>
          <w:szCs w:val="20"/>
          <w:color w:val="auto"/>
        </w:rPr>
      </w:pPr>
      <w:r>
        <w:rPr>
          <w:rFonts w:ascii="Times New Roman" w:cs="Times New Roman" w:eastAsia="Times New Roman" w:hAnsi="Times New Roman"/>
          <w:sz w:val="21"/>
          <w:szCs w:val="21"/>
          <w:b w:val="1"/>
          <w:bCs w:val="1"/>
          <w:color w:val="auto"/>
        </w:rPr>
        <w:t>Exhibit 4.4</w:t>
      </w:r>
    </w:p>
    <w:p>
      <w:pPr>
        <w:spacing w:after="0" w:line="2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A DEPOSITORY OR A NOMINEE OF A DEPOSITORY, WHICH MAY BE TREATED BY THE COMPANY, THE TRUSTEE AND ANY AGENT THEREOF AS OWNER AND HOLDER OF THIS SECURITY FOR ALL PURPOSES. THIS GLOBAL SECURITY IS EXCHANGEABLE FOR SECURITIES REGISTERED IN THE NAME OF A PERSON OTHER THAN THE DEPOSITORY OR ITS NOMINEE ONLY IN THE LIMITED CIRCUMSTANCES HEREINAFTER DESCRIBED AND MAY NOT BE TRANSFERRED EXCEPT AS A WHOLE BY THE DEPOSITORY TO A NOMINEE OF THE DEPOSITORY OR BY A NOMINEE OF THE DEPOSITORY TO THE DEPOSITORY.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THIS SECURITY IS PRESENTED BY AN AUTHORIZED REPRESENTATIVE OF THE DEPOSITORY TRUST COMPANY, A NEW YORK CORPORATION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PLEDGE OR OTHERWISE TRANSFER SUCH SECURITY, PRIOR TO THE DATE (THE “RESALE RESTRICTION TERMINATION DATE”) THAT IS [IN THE CASE OF RULE 144A GLOBAL NOTES: ONE YEAR AFTER THE LATER OF THE ISSUE DATE HEREOF OR ANY OTHER ISSUE DATE IN RESPECT OF A FURTHER ISSUANCE OF SECURITIES OF THE SAME SERIES AND THE LAST DATE ON WHICH KIMBERLY-CLARK CORPORATION OR ANY AFFILIATE OF KIMBERLY-CLARK CORPORATION WAS THE OWNER OF THIS SECURITY (OR ANY PREDECESSOR OF SUCH SECURITY), ONLY (A) TO KIMBERLY-CLARK CORPORATION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 (E) 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[IN THE CASE OF REGULATION S NOTES: 40 DAYS AFTER THE LATER OF THE ISSUE DATE HEREOF OR ANY OTHER ISSUE DATE IN RESPECT OF A FURTHER ISSUANCE OF SECURITIES OF THE SAME SERIES AND THE DATE ON WHICH THIS SECURITY (OR ANY PREDECESSOR OF SUCH SECURITY) WAS FIRST OFFERED TO PERSONS OTHER THAN DISTRIBUTORS (AS DEFINED IN RULE 902 OF REGULATION S) IN RELIANCE ON REGULATION S, ONLY (A) TO KIMBERLY-CLARK CORPORATION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 (E) 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PROVIDED THAT PRIOR TO THE RESALE RESTRICTION TERMINATION DATE, THE HOLDER AGREES ON ITS OWN BEHALF AND ON BEHALF OF ANY INVESTOR ACCOUNT FOR WHICH IT HAS PURCHASED SECURITIES, TO NOT OFFER, SELL, PLEDGE OR OTHERWISE TRANSFER SUCH SECURITY TO A U.S. PERSON OR FOR THE ACCOUNT OR BENEFIT OF A U.S.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3" w:name="page34"/>
    <w:bookmarkEnd w:id="3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BY ITS ACQUISITION HEREOF, THE HOLDER HEREOF AGREES THAT (A) IT IS NOT, AND WILL NOT BECOME (I) AN “EMPLOYEE BENEFIT PLAN” (AS DEFINED IN SECTION 3(3) OF THE EMPLOYEE RETIREMENT INCOME SECURITY ACT OF 1974, AS AMENDED (“ERISA”)) THAT IS SUBJECT TO TITLE I OF ERISA, (II) A PLAN DESCRIBED IN SECTION 4975(E)(1) OF THE INTERNAL REVENUE CODE OF 1986, AS AMENDED (THE “CODE”), THAT IS SUBJECT TO SECTION 4975 OF THE CODE, (III) A PLAN, INDIVIDUAL RETIREMENT ACCOUNT OR OTHER ARRANGEMENT THAT IS SUBJECT TO THE PROVISIONS OF ANY FEDERAL, STATE, LOCAL, NON-U.S. OR OTHER LAWS, RULES OR REGULATIONS THAT ARE SIMILAR TO SUCH PROVISIONS OF ERISA OR THE CODE (SUCH LAWS, COLLECTIVELY, “SIMILAR LAWS”) OR (IV) AN ENTITY OR ACCOUNT WHOSE UNDERLYING ASSETS ARE CONSIDERED TO INCLUDE THE ASSETS OF ANY SUCH PLAN OR ARRANGEMENT DESCRIBED IN (I), (II) OR (III) AND (B) ITS PURCHASE AND HOLDING OF THIS SECURITY, OR INTEREST THEREIN, WILL NOT CONSTITUTE OR RESULT IN A NON-EXEMPT PROHIBITED TRANSACTION UNDER SECTION 406 OF ERISA AND/OR SECTION 4975 OF THE CODE OR A VIOLATION OF ANY SIMILAR LAWS.</w:t>
      </w:r>
    </w:p>
    <w:p>
      <w:pPr>
        <w:spacing w:after="0" w:line="194"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[BY ITS ACQUISITION HEREOF, THE HOLDER HEREOF REPRESENTS THAT IT IS NOT A U.S. PERSON NOR IS IT PURCHASING FOR THE ACCOUNT OF A U.S. PERSON AND IS ACQUIRING THIS SECURITY IN AN OFFSHORE TRANSACTION IN ACCORDANCE WITH REGULATION S UNDER THE SECURITIES ACT.]</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17830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ind w:left="120" w:hanging="112"/>
        <w:spacing w:after="0"/>
        <w:tabs>
          <w:tab w:leader="none" w:pos="12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Applies to Regulation S Notes only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No. [A-[●] / S-[●]]</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CUSIP No. [494368 CJ0 (144A) / U49436 AJ4 (Reg S)] PRINCIPAL AMOUNT: $[●] ISIN No. [US494368CJ08 (144A) / USU49436AJ45 (Reg S)]</w:t>
      </w:r>
    </w:p>
    <w:p>
      <w:pPr>
        <w:spacing w:after="0" w:line="200" w:lineRule="exact"/>
        <w:rPr>
          <w:sz w:val="20"/>
          <w:szCs w:val="20"/>
          <w:color w:val="auto"/>
        </w:rPr>
      </w:pPr>
    </w:p>
    <w:p>
      <w:pPr>
        <w:spacing w:after="0" w:line="21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5.650% NOTES DUE JANUARY 29, 2034</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Kimberly-Clark Corporation, a corporation duly incorporated and existing under the laws of the State of Delaware (hereinafter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corporation under the Indenture hereinafter referred to), for value received, hereby promises to pay to CEDE &amp; CO., or registered assigns, the principal sum of ($[●]) on January 29, 2034, and to pay interest thereon from October 29, 2026, or from the most recent Interest Payment Date to which interest has been paid or duly provided for semi-annually on January 29 and July 29 of each year, commencing January 29, 2027, at the rate of 5.650% per annum, until the principal hereof is paid or made available for payment. The interest so payable, and punctually paid or duly provided for, on any Interest Payment Date will, as provided in the Indenture, be paid to the Person in whose name this Security (or one or more Predecessor Securities) is registered at the close of business on the Regular Record Date for such interest, which shall be January 14 and July 14 (whether or not a Business Day), as the case may be, next preceding such Interest Payment Date. All references in this Security to any interest or other amount payable on or with respect to this Security will be deemed to include Additional Interest pursuant to the Registration Rights Agreement, if any. Any amounts of Additional Interest due will be payable in cash on the same original Interest Payment Dates as interest on this Security is payable.</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interest not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the Indenture.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or pdf or other electronically imaged (including, without limitation, DocuSign or AdobeSign) signature, this Security shall not be entitled to any benefit under the Indenture or be valid or obligatory for any purpose.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7"/>
          <w:szCs w:val="17"/>
          <w:color w:val="auto"/>
        </w:rPr>
        <w:t>IN WITNESS WHEREOF, the Company has caused this instrument to be duly executed under its corporate seal.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29,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AUTHENTICATION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series designated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 referred to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within-mentioned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successor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color w:val="auto"/>
        </w:rPr>
        <w:t>[Reverse of Note]</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5.650% NOTES DUE JANUARY 29, 2034</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issued and to be issued in one or more series under a First Amended and Restated Indenture, dated as of March 1, 1988, as amended or supplemented from time to time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The Bank of New York Mellon Trust Company, N.A., as successor trustee and U.S. Bank Trust Company, National Association, as successor trustee in respect of the Future Notes (as defined in the Eighth Supplemental Indenture dated as of October 27, 2021)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$750,000,000.</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Prior to November 29, 2033 (two months prior to the maturity date of the Securities) (the “</w:t>
      </w:r>
      <w:r>
        <w:rPr>
          <w:rFonts w:ascii="Times New Roman" w:cs="Times New Roman" w:eastAsia="Times New Roman" w:hAnsi="Times New Roman"/>
          <w:sz w:val="18"/>
          <w:szCs w:val="18"/>
          <w:u w:val="single" w:color="auto"/>
          <w:color w:val="auto"/>
        </w:rPr>
        <w:t>Measurement Date</w:t>
      </w:r>
      <w:r>
        <w:rPr>
          <w:rFonts w:ascii="Times New Roman" w:cs="Times New Roman" w:eastAsia="Times New Roman" w:hAnsi="Times New Roman"/>
          <w:sz w:val="18"/>
          <w:szCs w:val="18"/>
          <w:color w:val="auto"/>
        </w:rPr>
        <w:t>”), the Company may redeem the Securities at its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the Securities matured on the Measurement Date) on a semi-annual basis (assuming a 360-day year consisting of twelve 30-day months) at the Treasury Rate plus 15 basis points less (b) interest accrued to, but excluding, the Redemption Date, and (2) 100% of the principal amount of the Securities to be redeemed, plus, in either case, accrued and unpaid interest thereon to, but excluding, the Redemption Date. On or after the Measurement Date, the Company may redeem the Securities, in whole or in part, at any time and from time to time, at a Redemption Price equal to 100% of the principal amount of the Securities being redeemed plus accrued and unpaid interest thereon to, but excluding, the Redemption Date.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the yield determined by the Company in accordance with the following two paragraphs.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will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8"/>
          <w:szCs w:val="18"/>
          <w:u w:val="single" w:color="auto"/>
          <w:color w:val="auto"/>
        </w:rPr>
        <w:t>H.15</w:t>
      </w:r>
      <w:r>
        <w:rPr>
          <w:rFonts w:ascii="Times New Roman" w:cs="Times New Roman" w:eastAsia="Times New Roman" w:hAnsi="Times New Roman"/>
          <w:sz w:val="18"/>
          <w:szCs w:val="18"/>
          <w:color w:val="auto"/>
        </w:rPr>
        <w:t>”) under the caption “U.S. government securities — Treasury constant maturities — Nominal” (or any successor caption or heading) (“</w:t>
      </w:r>
      <w:r>
        <w:rPr>
          <w:rFonts w:ascii="Times New Roman" w:cs="Times New Roman" w:eastAsia="Times New Roman" w:hAnsi="Times New Roman"/>
          <w:sz w:val="18"/>
          <w:szCs w:val="18"/>
          <w:u w:val="single" w:color="auto"/>
          <w:color w:val="auto"/>
        </w:rPr>
        <w:t>H.15 TCM</w:t>
      </w:r>
      <w:r>
        <w:rPr>
          <w:rFonts w:ascii="Times New Roman" w:cs="Times New Roman" w:eastAsia="Times New Roman" w:hAnsi="Times New Roman"/>
          <w:sz w:val="18"/>
          <w:szCs w:val="18"/>
          <w:color w:val="auto"/>
        </w:rPr>
        <w:t>”). In determining the Treasury Rate, the Company will select, as applicable: (1) the yield for the Treasury constant maturity on H.15 exactly equal to the period from the Redemption Date to the Measurement Date (the “</w:t>
      </w:r>
      <w:r>
        <w:rPr>
          <w:rFonts w:ascii="Times New Roman" w:cs="Times New Roman" w:eastAsia="Times New Roman" w:hAnsi="Times New Roman"/>
          <w:sz w:val="18"/>
          <w:szCs w:val="18"/>
          <w:u w:val="single" w:color="auto"/>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Measurement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or any successor designation or publication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Measurement Date, as applicable. If there is no United States Treasury security maturing on the Measurement Date but there are two or more United States Treasury securities with a maturity date equally distant from the Measurement Date, one with a maturity date preceding the Measurement Date and one with a maturity date following the Measurement Date, the Company will select the United States Treasury security with a maturity date preceding the Measurement Date. If there are two or more United States Treasury securities maturing on the Measurement Date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Notice of any redemption, other than any Special Mandatory Redemption, will be mailed or electronically delivered (or otherwise transmitted in accordance with the Depository’s procedures) at least 10 days but not more than 60 days before the Redemption Date to each Holder of Securities to be redeemed. Notice of any redemption of the Securities, other than any Special Mandatory Redemption, may, at the Company’s discretion, be given subject to one or more conditions precedent, including, but not limited to, completion of a corporate transaction. If such redemption is so subject to satisfaction of one or more conditions precedent, such notice shall describe each such condition, and, if applicable, will state that at the Company’s discretion, the Redemption Date may be delayed (including more than 60 days after the notice of redemption was given) until such time as any or all such conditions precedent will be satisfied (or waived by the Company in the Company’s sole discretion), or such notice may be rescinded in the event that any or all such conditions shall not have been satisfied or otherwise waived by the Redemption Date, or by the Redemption Date as so delayed. If any such redemption has been rescinded or delayed, the Company will provide written notice to the Trustee prior to the close of business two business days before the Redemption Date and, upon receipt, the Trustee will provide such notice to each Holder of the Securities. Once notice of redemption is mailed or sent, subject to the satisfaction or waiver (in the Company’s sole discretion) of any conditions precedent provided in the notice of redemption, the Securities called for redemption will become due and payable on the Redemption Date and at the applicable Redemption Price, plus accrued and unpaid interest to the Redemption Date.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case of a partial redemption, selection of the Securities for redemption will be made pro rata, by lot or by such other method as the Trustee in its sole discretion deems appropriate and fair. No Securities of a principal amount of $2,000 or less will be redeemed in part. If any Security is to be redeemed in part only, the notice of redemption that relates to the Security will state the portion of the principal amount of the Security to be redeemed. A new Security in a principal amount equal to the unredeemed portion of the Security will be issued in the name of the Holder of the Security upon surrender for cancellation of the original Security. For so long as the Securities are held by DTC (or another depositary), the redemption of the Securities, including the allocation of the Redemption Price among beneficial owners of the Securities, shall be done in accordance with the policies and procedures of the depositary.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Securities or portions thereof called for redemption.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will not be entitled to any sinking fund.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as defined in the Indenture, with respect to Securities of this series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entered into an Agreement and Plan of Merger, dated as of November 2, 2025 (as amended, supplemented or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Kenvue Inc., a Delaware corporation (“</w:t>
      </w:r>
      <w:r>
        <w:rPr>
          <w:rFonts w:ascii="Times New Roman" w:cs="Times New Roman" w:eastAsia="Times New Roman" w:hAnsi="Times New Roman"/>
          <w:sz w:val="18"/>
          <w:szCs w:val="18"/>
          <w:u w:val="single" w:color="auto"/>
          <w:color w:val="auto"/>
        </w:rPr>
        <w:t>Kenvue</w:t>
      </w:r>
      <w:r>
        <w:rPr>
          <w:rFonts w:ascii="Times New Roman" w:cs="Times New Roman" w:eastAsia="Times New Roman" w:hAnsi="Times New Roman"/>
          <w:sz w:val="18"/>
          <w:szCs w:val="18"/>
          <w:color w:val="auto"/>
        </w:rPr>
        <w:t>”), Vesta Sub I, Inc., a Delaware corporation and a direct wholly owned subsidiary of the Company (“</w:t>
      </w:r>
      <w:r>
        <w:rPr>
          <w:rFonts w:ascii="Times New Roman" w:cs="Times New Roman" w:eastAsia="Times New Roman" w:hAnsi="Times New Roman"/>
          <w:sz w:val="18"/>
          <w:szCs w:val="18"/>
          <w:u w:val="single" w:color="auto"/>
          <w:color w:val="auto"/>
        </w:rPr>
        <w:t>First Merger Sub</w:t>
      </w:r>
      <w:r>
        <w:rPr>
          <w:rFonts w:ascii="Times New Roman" w:cs="Times New Roman" w:eastAsia="Times New Roman" w:hAnsi="Times New Roman"/>
          <w:sz w:val="18"/>
          <w:szCs w:val="18"/>
          <w:color w:val="auto"/>
        </w:rPr>
        <w:t>”), and Vesta Sub II, LLC, a Delaware limited liability company and a direct wholly owned subsidiary of the Company (“</w:t>
      </w:r>
      <w:r>
        <w:rPr>
          <w:rFonts w:ascii="Times New Roman" w:cs="Times New Roman" w:eastAsia="Times New Roman" w:hAnsi="Times New Roman"/>
          <w:sz w:val="18"/>
          <w:szCs w:val="18"/>
          <w:u w:val="single" w:color="auto"/>
          <w:color w:val="auto"/>
        </w:rPr>
        <w:t>Second Merger Sub</w:t>
      </w:r>
      <w:r>
        <w:rPr>
          <w:rFonts w:ascii="Times New Roman" w:cs="Times New Roman" w:eastAsia="Times New Roman" w:hAnsi="Times New Roman"/>
          <w:sz w:val="18"/>
          <w:szCs w:val="18"/>
          <w:color w:val="auto"/>
        </w:rPr>
        <w:t>”). Under the terms of the Merger Agreement, First Merger Sub will merge with and into Kenvue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Kenvue surviving as a direct wholly owned subsidiary of the Company (the “</w:t>
      </w:r>
      <w:r>
        <w:rPr>
          <w:rFonts w:ascii="Times New Roman" w:cs="Times New Roman" w:eastAsia="Times New Roman" w:hAnsi="Times New Roman"/>
          <w:sz w:val="18"/>
          <w:szCs w:val="18"/>
          <w:u w:val="single" w:color="auto"/>
          <w:color w:val="auto"/>
        </w:rPr>
        <w:t>Initial Surviving Company</w:t>
      </w:r>
      <w:r>
        <w:rPr>
          <w:rFonts w:ascii="Times New Roman" w:cs="Times New Roman" w:eastAsia="Times New Roman" w:hAnsi="Times New Roman"/>
          <w:sz w:val="18"/>
          <w:szCs w:val="18"/>
          <w:color w:val="auto"/>
        </w:rPr>
        <w:t>”), and immediately following the First Merger, and as part of the same overall transaction as the First Merger, the Initial Surviving Company will merge with and into Second Merger Sub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with Second Merger Sub surviving the Second Merger as a direct wholly owned subsidiary of the Company.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(i) the First Merger has not been consummated prior to the date that is five (5) business days after the later of (x) May 31, 2027 or (y) any later date as the parties to the Merger Agreement may agree as the “Outside Date” thereunder or (ii) the Company notifies the Trustee that the Company will not pursue the consummation of the First Merger (each of (i) and (ii), a “</w:t>
      </w:r>
      <w:r>
        <w:rPr>
          <w:rFonts w:ascii="Times New Roman" w:cs="Times New Roman" w:eastAsia="Times New Roman" w:hAnsi="Times New Roman"/>
          <w:sz w:val="18"/>
          <w:szCs w:val="18"/>
          <w:u w:val="single" w:color="auto"/>
          <w:color w:val="auto"/>
        </w:rPr>
        <w:t>Special Mandatory Redemption Trigger</w:t>
      </w:r>
      <w:r>
        <w:rPr>
          <w:rFonts w:ascii="Times New Roman" w:cs="Times New Roman" w:eastAsia="Times New Roman" w:hAnsi="Times New Roman"/>
          <w:sz w:val="18"/>
          <w:szCs w:val="18"/>
          <w:color w:val="auto"/>
        </w:rPr>
        <w:t>”), then the Company will be required to redeem all outstanding Securities (such redemption, the “</w:t>
      </w:r>
      <w:r>
        <w:rPr>
          <w:rFonts w:ascii="Times New Roman" w:cs="Times New Roman" w:eastAsia="Times New Roman" w:hAnsi="Times New Roman"/>
          <w:sz w:val="18"/>
          <w:szCs w:val="18"/>
          <w:u w:val="single" w:color="auto"/>
          <w:color w:val="auto"/>
        </w:rPr>
        <w:t>Special Mandatory Redemption</w:t>
      </w:r>
      <w:r>
        <w:rPr>
          <w:rFonts w:ascii="Times New Roman" w:cs="Times New Roman" w:eastAsia="Times New Roman" w:hAnsi="Times New Roman"/>
          <w:sz w:val="18"/>
          <w:szCs w:val="18"/>
          <w:color w:val="auto"/>
        </w:rPr>
        <w:t>”) at a special mandatory Redemption Price equal to 101% of the aggregate principal amount of the Securities, plus accrued and unpaid interest, if any, to, but not including, the Special Mandatory Redemption Date (the “</w:t>
      </w:r>
      <w:r>
        <w:rPr>
          <w:rFonts w:ascii="Times New Roman" w:cs="Times New Roman" w:eastAsia="Times New Roman" w:hAnsi="Times New Roman"/>
          <w:sz w:val="18"/>
          <w:szCs w:val="18"/>
          <w:u w:val="single" w:color="auto"/>
          <w:color w:val="auto"/>
        </w:rPr>
        <w:t>Special Mandatory Redemption Price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that the Company becomes obligated to redeem the Securities pursuant to the Special Mandatory Redemption, the Company will promptly, and in any event not more than ten (10) business days after the date on which a Special Mandatory Redemption Trigger occurred, deliver notice to the Trustee of the Special Mandatory Redemption and the date upon which the Securities will be redeemed (the “</w:t>
      </w:r>
      <w:r>
        <w:rPr>
          <w:rFonts w:ascii="Times New Roman" w:cs="Times New Roman" w:eastAsia="Times New Roman" w:hAnsi="Times New Roman"/>
          <w:sz w:val="18"/>
          <w:szCs w:val="18"/>
          <w:u w:val="single" w:color="auto"/>
          <w:color w:val="auto"/>
        </w:rPr>
        <w:t>Special Mandatory Redemption Date</w:t>
      </w:r>
      <w:r>
        <w:rPr>
          <w:rFonts w:ascii="Times New Roman" w:cs="Times New Roman" w:eastAsia="Times New Roman" w:hAnsi="Times New Roman"/>
          <w:sz w:val="18"/>
          <w:szCs w:val="18"/>
          <w:color w:val="auto"/>
        </w:rPr>
        <w:t>,” which date shall be no earlier than five (5) days and no later than thirty (30) days following the date of such notice, unless some longer minimum period may be required by DTC (or any successor depositary selected or approved by the Company)). The Trustee will then promptly mail, or electronically deliver, according to the procedures of DTC, such notice of Special Mandatory Redemption to each Holder of the Securities to be redeemed. Unless the Company defaults in payment of the Special Mandatory Redemption Price, on and after such Special Mandatory Redemption Date, interest will cease to accrue on the Securities to be redeemed.</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any series of the Securities that are due and payable on Interest Payment Dates falling on or prior to the Special Mandatory Redemption Date will be payable on such Interest Payment Dates to the Holders as of the close of business on the Regular Record Dates for the payment of interest in accordance with the Securities and the Indenture.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consummation of the First Merger, the foregoing provisions regarding the Special Mandatory Redemption will cease to apply. For purposes of the foregoing, the First Merger will be deemed consummated if the closing of the First Merger as contemplated under the Merger Agreement occurs, including after giving effect to any amendments, modifications or waivers to the Merger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a majority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(a) the entire indebtedness on this Security and (b) certain restrictive covenants and certain Events of Default, upon compliance by the Company with certain conditions set forth therein, which provisions apply to this Security.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due presentment for registration of transfer of this Security at the office or agency of the Trustee maintained for that purpose in St. Paul, Minnesota, a new Security or Securities of this series in authorized denominations for an equal aggregate principal amount will be issued to the transferee in exchange herefor, as provided in the Indenture and subject to the limitations provided therein and to the limitations described below, without charge except for any tax or other governmental charge imposed in connection therewith.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Security is exchangeable for definitive Securities in registered form only if (x) the Depository notifies the Company that it is unwilling or unable to continue as Depository for this Security or if at any time the Depository ceases to be a clearing agency registered under the Securities Exchange Act of 1934, as amended, or (y) the Company in its sole discretion determines that this Security shall be exchangeable for definitive Securities in registered form and notifies the Trustee thereof. If this Security is exchangeable pursuant to the preceding sentence, it shall be exchangeable for definitive Securities in registered form in denominations of $2,000 and any integral multiple of $1,000 in excess thereof, registered in such names as such Depository shall direct, bearing interest at the same rate, having the same date of issuance, redemption provisions, Stated Maturity and other terms and of differing denominations aggregating a like amount.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Security may not be transferred except as a whole by the Depository to a nominee of the Depository, or by a nominee of the Depository to the Depository or another nominee of the Depository, or by the Depository or any such nominee to a successor of the Depository or a nominee of such successor. Except as provided above, owners of beneficial interests in this global Security will not be entitled to receive physical delivery of Securities in definitive form and will not be considered the Holders hereof for any purpose under the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premium, if any) and interest on this Security at the times, place and rate, and in the coin or currency, herein prescribed, except that in the event the Company deposits money or Government Obligations as provided in Sections 402 or 1006 of the Indenture, such payments will be made only from proceeds of such money or Government Obligations.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premium, if any) or the interest on this Security, or for any claim based hereon, or otherwise in respect hereof, or based on or in respect of the Indenture or any indenture supplemental thereto, against any incorporator, stockholder, officer or director, as such, past, present or future, of the Company or any successor corporation, whether by virtue of any constitution, statute or rule of law, or by the enforcement of any assessment or penalty or otherwise, all such liability being, by the acceptance hereof and as part of the consideration for the issuance hereof, expressly waived and released.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Anything in the Indenture or the Security of this series to the contrary notwithstanding, for the purposes of the transactions contemplated by the Indenture relating to the Security of this series, the Security of this series and any document to be signed in connection with the Indenture or such Security (including the Securities of this series and amendments, supplements, waivers, consents and other modifications, Officers’ Certificates, Company Orders and Opinions of Counsel and other issuance, authentication and delivery documents) or the transactions contemplated hereby may be signed by manual signatures that are scanned, photocopied or faxed or other electronic signatures created on an electronic platform (such as DocuSign) or by digital signature (such as Adobe Sign), in each case that is approved by the Trustee, and contract formations on electronic platforms approved by the Trustee, and the keeping of records in electronic form, are hereby authorized, and each shall be of the same legal effect, validity or enforceability as a manually executed signature in ink or the use of a paper-based recordkeeping system, as the case may be.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in this Security which are defined in the Indenture shall have the meanings assigned to them in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10240"/>
        <w:spacing w:after="0"/>
        <w:rPr>
          <w:sz w:val="20"/>
          <w:szCs w:val="20"/>
          <w:color w:val="auto"/>
        </w:rPr>
      </w:pPr>
      <w:r>
        <w:rPr>
          <w:rFonts w:ascii="Times New Roman" w:cs="Times New Roman" w:eastAsia="Times New Roman" w:hAnsi="Times New Roman"/>
          <w:sz w:val="21"/>
          <w:szCs w:val="21"/>
          <w:b w:val="1"/>
          <w:bCs w:val="1"/>
          <w:color w:val="auto"/>
        </w:rPr>
        <w:t>Exhibit 4.5</w:t>
      </w:r>
    </w:p>
    <w:p>
      <w:pPr>
        <w:spacing w:after="0" w:line="2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A DEPOSITORY OR A NOMINEE OF A DEPOSITORY, WHICH MAY BE TREATED BY THE COMPANY, THE TRUSTEE AND ANY AGENT THEREOF AS OWNER AND HOLDER OF THIS SECURITY FOR ALL PURPOSES. THIS GLOBAL SECURITY IS EXCHANGEABLE FOR SECURITIES REGISTERED IN THE NAME OF A PERSON OTHER THAN THE DEPOSITORY OR ITS NOMINEE ONLY IN THE LIMITED CIRCUMSTANCES HEREINAFTER DESCRIBED AND MAY NOT BE TRANSFERRED EXCEPT AS A WHOLE BY THE DEPOSITORY TO A NOMINEE OF THE DEPOSITORY OR BY A NOMINEE OF THE DEPOSITORY TO THE DEPOSITORY.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THIS SECURITY IS PRESENTED BY AN AUTHORIZED REPRESENTATIVE OF THE DEPOSITORY TRUST COMPANY, A NEW YORK CORPORATION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PLEDGE OR OTHERWISE TRANSFER SUCH SECURITY, PRIOR TO THE DATE (THE “RESALE RESTRICTION TERMINATION DATE”) THAT IS [IN THE CASE OF RULE 144A GLOBAL NOTES: ONE YEAR AFTER THE LATER OF THE ISSUE DATE HEREOF OR ANY OTHER ISSUE DATE IN RESPECT OF A FURTHER ISSUANCE OF SECURITIES OF THE SAME SERIES AND THE LAST DATE ON WHICH KIMBERLY-CLARK CORPORATION OR ANY AFFILIATE OF KIMBERLY-CLARK CORPORATION WAS THE OWNER OF THIS SECURITY (OR ANY PREDECESSOR OF SUCH SECURITY), ONLY (A) TO KIMBERLY-CLARK CORPORATION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 (E) 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[IN THE CASE OF REGULATION S NOTES: 40 DAYS AFTER THE LATER OF THE ISSUE DATE HEREOF OR ANY OTHER ISSUE DATE IN RESPECT OF A FURTHER ISSUANCE OF SECURITIES OF THE SAME SERIES AND THE DATE ON WHICH THIS SECURITY (OR ANY PREDECESSOR OF SUCH SECURITY) WAS FIRST OFFERED TO PERSONS OTHER THAN DISTRIBUTORS (AS DEFINED IN RULE 902 OF REGULATION S) IN RELIANCE ON REGULATION S, ONLY (A) TO KIMBERLY-CLARK CORPORATION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 (E) 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PROVIDED THAT PRIOR TO THE RESALE RESTRICTION TERMINATION DATE, THE HOLDER AGREES ON ITS OWN BEHALF AND ON BEHALF OF ANY INVESTOR ACCOUNT FOR WHICH IT HAS PURCHASED SECURITIES, TO NOT OFFER, SELL, PLEDGE OR OTHERWISE TRANSFER SUCH SECURITY TO A U.S. PERSON OR FOR THE ACCOUNT OR BENEFIT OF A U.S.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2" w:name="page43"/>
    <w:bookmarkEnd w:id="4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BY ITS ACQUISITION HEREOF, THE HOLDER HEREOF AGREES THAT (A) IT IS NOT, AND WILL NOT BECOME (I) AN “EMPLOYEE BENEFIT PLAN” (AS DEFINED IN SECTION 3(3) OF THE EMPLOYEE RETIREMENT INCOME SECURITY ACT OF 1974, AS AMENDED (“ERISA”)) THAT IS SUBJECT TO TITLE I OF ERISA, (II) A PLAN DESCRIBED IN SECTION 4975(E)(1) OF THE INTERNAL REVENUE CODE OF 1986, AS AMENDED (THE “CODE”), THAT IS SUBJECT TO SECTION 4975 OF THE CODE, (III) A PLAN, INDIVIDUAL RETIREMENT ACCOUNT OR OTHER ARRANGEMENT THAT IS SUBJECT TO THE PROVISIONS OF ANY FEDERAL, STATE, LOCAL, NON-U.S. OR OTHER LAWS, RULES OR REGULATIONS THAT ARE SIMILAR TO SUCH PROVISIONS OF ERISA OR THE CODE (SUCH LAWS, COLLECTIVELY, “SIMILAR LAWS”) OR (IV) AN ENTITY OR ACCOUNT WHOSE UNDERLYING ASSETS ARE CONSIDERED TO INCLUDE THE ASSETS OF ANY SUCH PLAN OR ARRANGEMENT DESCRIBED IN (I), (II) OR (III) AND (B) ITS PURCHASE AND HOLDING OF THIS SECURITY, OR INTEREST THEREIN, WILL NOT CONSTITUTE OR RESULT IN A NON-EXEMPT PROHIBITED TRANSACTION UNDER SECTION 406 OF ERISA AND/OR SECTION 4975 OF THE CODE OR A VIOLATION OF ANY SIMILAR LAWS.</w:t>
      </w:r>
    </w:p>
    <w:p>
      <w:pPr>
        <w:spacing w:after="0" w:line="194"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[BY ITS ACQUISITION HEREOF, THE HOLDER HEREOF REPRESENTS THAT IT IS NOT A U.S. PERSON NOR IS IT PURCHASING FOR THE ACCOUNT OF A U.S. PERSON AND IS ACQUIRING THIS SECURITY IN AN OFFSHORE TRANSACTION IN ACCORDANCE WITH REGULATION S UNDER THE SECURITIES ACT.]</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17830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ind w:left="120" w:hanging="112"/>
        <w:spacing w:after="0"/>
        <w:tabs>
          <w:tab w:leader="none" w:pos="12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Applies to Regulation S Notes only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No. [A-[●] / S-[●]]</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CUSIP No. [494368 CK7 (144A) / U49436 AK1 (Reg S)] PRINCIPAL AMOUNT: $[●] ISIN No. [US494368CK70 (144A) / USU49436AK18 (Reg S)]</w:t>
      </w:r>
    </w:p>
    <w:p>
      <w:pPr>
        <w:spacing w:after="0" w:line="200" w:lineRule="exact"/>
        <w:rPr>
          <w:sz w:val="20"/>
          <w:szCs w:val="20"/>
          <w:color w:val="auto"/>
        </w:rPr>
      </w:pPr>
    </w:p>
    <w:p>
      <w:pPr>
        <w:spacing w:after="0" w:line="21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5.800% NOTES DUE OCTOBER 29, 2036</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Kimberly-Clark Corporation, a corporation duly incorporated and existing under the laws of the State of Delaware (hereinafter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corporation under the Indenture hereinafter referred to), for value received, hereby promises to pay to CEDE &amp; CO., or registered assigns, the principal sum of ($[●]) on October 29, 2036, and to pay interest thereon from October 29, 2026, or from the most recent Interest Payment Date to which interest has been paid or duly provided for semi-annually on April 29 and October 29 of each year, commencing April 29, 2027, at the rate of 5.800% per annum, until the principal hereof is paid or made available for payment. The interest so payable, and punctually paid or duly provided for, on any Interest Payment Date will, as provided in the Indenture, be paid to the Person in whose name this Security (or one or more Predecessor Securities) is registered at the close of business on the Regular Record Date for such interest, which shall be April 14 and October 14 (whether or not a Business Day), as the case may be, next preceding such Interest Payment Date. All references in this Security to any interest or other amount payable on or with respect to this Security will be deemed to include Additional Interest pursuant to the Registration Rights Agreement, if any. Any amounts of Additional Interest due will be payable in cash on the same original Interest Payment Dates as interest on this Security is payable.</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interest not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the Indenture.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or pdf or other electronically imaged (including, without limitation, DocuSign or AdobeSign) signature, this Security shall not be entitled to any benefit under the Indenture or be valid or obligatory for any purpose.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7"/>
          <w:szCs w:val="17"/>
          <w:color w:val="auto"/>
        </w:rPr>
        <w:t>IN WITNESS WHEREOF, the Company has caused this instrument to be duly executed under its corporate seal.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29,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AUTHENTICATION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series designated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 referred to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within-mentioned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successor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color w:val="auto"/>
        </w:rPr>
        <w:t>[Reverse of Note]</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5.800% NOTES DUE OCTOBER 29, 2036</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issued and to be issued in one or more series under a First Amended and Restated Indenture, dated as of March 1, 1988, as amended or supplemented from time to time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The Bank of New York Mellon Trust Company, N.A., as successor trustee and U.S. Bank Trust Company, National Association, as successor trustee in respect of the Future Notes (as defined in the Eighth Supplemental Indenture dated as of October 27, 2021)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$1,150,000,000.</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Prior to July 29, 2036 (three months prior to the maturity date of the Securities) (the “</w:t>
      </w:r>
      <w:r>
        <w:rPr>
          <w:rFonts w:ascii="Times New Roman" w:cs="Times New Roman" w:eastAsia="Times New Roman" w:hAnsi="Times New Roman"/>
          <w:sz w:val="18"/>
          <w:szCs w:val="18"/>
          <w:u w:val="single" w:color="auto"/>
          <w:color w:val="auto"/>
        </w:rPr>
        <w:t>Measurement Date</w:t>
      </w:r>
      <w:r>
        <w:rPr>
          <w:rFonts w:ascii="Times New Roman" w:cs="Times New Roman" w:eastAsia="Times New Roman" w:hAnsi="Times New Roman"/>
          <w:sz w:val="18"/>
          <w:szCs w:val="18"/>
          <w:color w:val="auto"/>
        </w:rPr>
        <w:t>”), the Company may redeem the Securities at its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the Securities matured on the Measurement Date) on a semi-annual basis (assuming a 360-day year consisting of twelve 30-day months) at the Treasury Rate plus 15 basis points less (b) interest accrued to, but excluding, the Redemption Date, and (2) 100% of the principal amount of the Securities to be redeemed, plus, in either case, accrued and unpaid interest thereon to, but excluding, the Redemption Date. On or after the Measurement Date, the Company may redeem the Securities, in whole or in part, at any time and from time to time, at a Redemption Price equal to 100% of the principal amount of the Securities being redeemed plus accrued and unpaid interest thereon to, but excluding, the Redemption Date.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the yield determined by the Company in accordance with the following two paragraphs.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will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8"/>
          <w:szCs w:val="18"/>
          <w:u w:val="single" w:color="auto"/>
          <w:color w:val="auto"/>
        </w:rPr>
        <w:t>H.15</w:t>
      </w:r>
      <w:r>
        <w:rPr>
          <w:rFonts w:ascii="Times New Roman" w:cs="Times New Roman" w:eastAsia="Times New Roman" w:hAnsi="Times New Roman"/>
          <w:sz w:val="18"/>
          <w:szCs w:val="18"/>
          <w:color w:val="auto"/>
        </w:rPr>
        <w:t>”) under the caption “U.S. government securities — Treasury constant maturities — Nominal” (or any successor caption or heading) (“</w:t>
      </w:r>
      <w:r>
        <w:rPr>
          <w:rFonts w:ascii="Times New Roman" w:cs="Times New Roman" w:eastAsia="Times New Roman" w:hAnsi="Times New Roman"/>
          <w:sz w:val="18"/>
          <w:szCs w:val="18"/>
          <w:u w:val="single" w:color="auto"/>
          <w:color w:val="auto"/>
        </w:rPr>
        <w:t>H.15 TCM</w:t>
      </w:r>
      <w:r>
        <w:rPr>
          <w:rFonts w:ascii="Times New Roman" w:cs="Times New Roman" w:eastAsia="Times New Roman" w:hAnsi="Times New Roman"/>
          <w:sz w:val="18"/>
          <w:szCs w:val="18"/>
          <w:color w:val="auto"/>
        </w:rPr>
        <w:t>”). In determining the Treasury Rate, the Company will select, as applicable: (1) the yield for the Treasury constant maturity on H.15 exactly equal to the period from the Redemption Date to the Measurement Date (the “</w:t>
      </w:r>
      <w:r>
        <w:rPr>
          <w:rFonts w:ascii="Times New Roman" w:cs="Times New Roman" w:eastAsia="Times New Roman" w:hAnsi="Times New Roman"/>
          <w:sz w:val="18"/>
          <w:szCs w:val="18"/>
          <w:u w:val="single" w:color="auto"/>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Measurement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or any successor designation or publication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Measurement Date, as applicable. If there is no United States Treasury security maturing on the Measurement Date but there are two or more United States Treasury securities with a maturity date equally distant from the Measurement Date, one with a maturity date preceding the Measurement Date and one with a maturity date following the Measurement Date, the Company will select the United States Treasury security with a maturity date preceding the Measurement Date. If there are two or more United States Treasury securities maturing on the Measurement Date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Notice of any redemption, other than any Special Mandatory Redemption, will be mailed or electronically delivered (or otherwise transmitted in accordance with the Depository’s procedures) at least 10 days but not more than 60 days before the Redemption Date to each Holder of Securities to be redeemed. Notice of any redemption of the Securities, other than any Special Mandatory Redemption, may, at the Company’s discretion, be given subject to one or more conditions precedent, including, but not limited to, completion of a corporate transaction. If such redemption is so subject to satisfaction of one or more conditions precedent, such notice shall describe each such condition, and, if applicable, will state that at the Company’s discretion, the Redemption Date may be delayed (including more than 60 days after the notice of redemption was given) until such time as any or all such conditions precedent will be satisfied (or waived by the Company in the Company’s sole discretion), or such notice may be rescinded in the event that any or all such conditions shall not have been satisfied or otherwise waived by the Redemption Date, or by the Redemption Date as so delayed. If any such redemption has been rescinded or delayed, the Company will provide written notice to the Trustee prior to the close of business two business days before the Redemption Date and, upon receipt, the Trustee will provide such notice to each Holder of the Securities. Once notice of redemption is mailed or sent, subject to the satisfaction or waiver (in the Company’s sole discretion) of any conditions precedent provided in the notice of redemption, the Securities called for redemption will become due and payable on the Redemption Date and at the applicable Redemption Price, plus accrued and unpaid interest to the Redemption Date.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case of a partial redemption, selection of the Securities for redemption will be made pro rata, by lot or by such other method as the Trustee in its sole discretion deems appropriate and fair. No Securities of a principal amount of $2,000 or less will be redeemed in part. If any Security is to be redeemed in part only, the notice of redemption that relates to the Security will state the portion of the principal amount of the Security to be redeemed. A new Security in a principal amount equal to the unredeemed portion of the Security will be issued in the name of the Holder of the Security upon surrender for cancellation of the original Security. For so long as the Securities are held by DTC (or another depositary), the redemption of the Securities, including the allocation of the Redemption Price among beneficial owners of the Securities, shall be done in accordance with the policies and procedures of the depositary.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Securities or portions thereof called for redemption.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will not be entitled to any sinking fund.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as defined in the Indenture, with respect to Securities of this series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entered into an Agreement and Plan of Merger, dated as of November 2, 2025 (as amended, supplemented or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Kenvue Inc., a Delaware corporation (“</w:t>
      </w:r>
      <w:r>
        <w:rPr>
          <w:rFonts w:ascii="Times New Roman" w:cs="Times New Roman" w:eastAsia="Times New Roman" w:hAnsi="Times New Roman"/>
          <w:sz w:val="18"/>
          <w:szCs w:val="18"/>
          <w:u w:val="single" w:color="auto"/>
          <w:color w:val="auto"/>
        </w:rPr>
        <w:t>Kenvue</w:t>
      </w:r>
      <w:r>
        <w:rPr>
          <w:rFonts w:ascii="Times New Roman" w:cs="Times New Roman" w:eastAsia="Times New Roman" w:hAnsi="Times New Roman"/>
          <w:sz w:val="18"/>
          <w:szCs w:val="18"/>
          <w:color w:val="auto"/>
        </w:rPr>
        <w:t>”), Vesta Sub I, Inc., a Delaware corporation and a direct wholly owned subsidiary of the Company (“</w:t>
      </w:r>
      <w:r>
        <w:rPr>
          <w:rFonts w:ascii="Times New Roman" w:cs="Times New Roman" w:eastAsia="Times New Roman" w:hAnsi="Times New Roman"/>
          <w:sz w:val="18"/>
          <w:szCs w:val="18"/>
          <w:u w:val="single" w:color="auto"/>
          <w:color w:val="auto"/>
        </w:rPr>
        <w:t>First Merger Sub</w:t>
      </w:r>
      <w:r>
        <w:rPr>
          <w:rFonts w:ascii="Times New Roman" w:cs="Times New Roman" w:eastAsia="Times New Roman" w:hAnsi="Times New Roman"/>
          <w:sz w:val="18"/>
          <w:szCs w:val="18"/>
          <w:color w:val="auto"/>
        </w:rPr>
        <w:t>”), and Vesta Sub II, LLC, a Delaware limited liability company and a direct wholly owned subsidiary of the Company (“</w:t>
      </w:r>
      <w:r>
        <w:rPr>
          <w:rFonts w:ascii="Times New Roman" w:cs="Times New Roman" w:eastAsia="Times New Roman" w:hAnsi="Times New Roman"/>
          <w:sz w:val="18"/>
          <w:szCs w:val="18"/>
          <w:u w:val="single" w:color="auto"/>
          <w:color w:val="auto"/>
        </w:rPr>
        <w:t>Second Merger Sub</w:t>
      </w:r>
      <w:r>
        <w:rPr>
          <w:rFonts w:ascii="Times New Roman" w:cs="Times New Roman" w:eastAsia="Times New Roman" w:hAnsi="Times New Roman"/>
          <w:sz w:val="18"/>
          <w:szCs w:val="18"/>
          <w:color w:val="auto"/>
        </w:rPr>
        <w:t>”). Under the terms of the Merger Agreement, First Merger Sub will merge with and into Kenvue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Kenvue surviving as a direct wholly owned subsidiary of the Company (the “</w:t>
      </w:r>
      <w:r>
        <w:rPr>
          <w:rFonts w:ascii="Times New Roman" w:cs="Times New Roman" w:eastAsia="Times New Roman" w:hAnsi="Times New Roman"/>
          <w:sz w:val="18"/>
          <w:szCs w:val="18"/>
          <w:u w:val="single" w:color="auto"/>
          <w:color w:val="auto"/>
        </w:rPr>
        <w:t>Initial Surviving Company</w:t>
      </w:r>
      <w:r>
        <w:rPr>
          <w:rFonts w:ascii="Times New Roman" w:cs="Times New Roman" w:eastAsia="Times New Roman" w:hAnsi="Times New Roman"/>
          <w:sz w:val="18"/>
          <w:szCs w:val="18"/>
          <w:color w:val="auto"/>
        </w:rPr>
        <w:t>”), and immediately following the First Merger, and as part of the same overall transaction as the First Merger, the Initial Surviving Company will merge with and into Second Merger Sub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with Second Merger Sub surviving the Second Merger as a direct wholly owned subsidiary of the Company.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(i) the First Merger has not been consummated prior to the date that is five (5) business days after the later of (x) May 31, 2027 or (y) any later date as the parties to the Merger Agreement may agree as the “Outside Date” thereunder or (ii) the Company notifies the Trustee that the Company will not pursue the consummation of the First Merger (each of (i) and (ii), a “</w:t>
      </w:r>
      <w:r>
        <w:rPr>
          <w:rFonts w:ascii="Times New Roman" w:cs="Times New Roman" w:eastAsia="Times New Roman" w:hAnsi="Times New Roman"/>
          <w:sz w:val="18"/>
          <w:szCs w:val="18"/>
          <w:u w:val="single" w:color="auto"/>
          <w:color w:val="auto"/>
        </w:rPr>
        <w:t>Special Mandatory Redemption Trigger</w:t>
      </w:r>
      <w:r>
        <w:rPr>
          <w:rFonts w:ascii="Times New Roman" w:cs="Times New Roman" w:eastAsia="Times New Roman" w:hAnsi="Times New Roman"/>
          <w:sz w:val="18"/>
          <w:szCs w:val="18"/>
          <w:color w:val="auto"/>
        </w:rPr>
        <w:t>”), then the Company will be required to redeem all outstanding Securities (such redemption, the “</w:t>
      </w:r>
      <w:r>
        <w:rPr>
          <w:rFonts w:ascii="Times New Roman" w:cs="Times New Roman" w:eastAsia="Times New Roman" w:hAnsi="Times New Roman"/>
          <w:sz w:val="18"/>
          <w:szCs w:val="18"/>
          <w:u w:val="single" w:color="auto"/>
          <w:color w:val="auto"/>
        </w:rPr>
        <w:t>Special Mandatory Redemption</w:t>
      </w:r>
      <w:r>
        <w:rPr>
          <w:rFonts w:ascii="Times New Roman" w:cs="Times New Roman" w:eastAsia="Times New Roman" w:hAnsi="Times New Roman"/>
          <w:sz w:val="18"/>
          <w:szCs w:val="18"/>
          <w:color w:val="auto"/>
        </w:rPr>
        <w:t>”) at a special mandatory Redemption Price equal to 101% of the aggregate principal amount of the Securities, plus accrued and unpaid interest, if any, to, but not including, the Special Mandatory Redemption Date (the “</w:t>
      </w:r>
      <w:r>
        <w:rPr>
          <w:rFonts w:ascii="Times New Roman" w:cs="Times New Roman" w:eastAsia="Times New Roman" w:hAnsi="Times New Roman"/>
          <w:sz w:val="18"/>
          <w:szCs w:val="18"/>
          <w:u w:val="single" w:color="auto"/>
          <w:color w:val="auto"/>
        </w:rPr>
        <w:t>Special Mandatory Redemption Price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that the Company becomes obligated to redeem the Securities pursuant to the Special Mandatory Redemption, the Company will promptly, and in any event not more than ten (10) business days after the date on which a Special Mandatory Redemption Trigger occurred, deliver notice to the Trustee of the Special Mandatory Redemption and the date upon which the Securities will be redeemed (the “</w:t>
      </w:r>
      <w:r>
        <w:rPr>
          <w:rFonts w:ascii="Times New Roman" w:cs="Times New Roman" w:eastAsia="Times New Roman" w:hAnsi="Times New Roman"/>
          <w:sz w:val="18"/>
          <w:szCs w:val="18"/>
          <w:u w:val="single" w:color="auto"/>
          <w:color w:val="auto"/>
        </w:rPr>
        <w:t>Special Mandatory Redemption Date</w:t>
      </w:r>
      <w:r>
        <w:rPr>
          <w:rFonts w:ascii="Times New Roman" w:cs="Times New Roman" w:eastAsia="Times New Roman" w:hAnsi="Times New Roman"/>
          <w:sz w:val="18"/>
          <w:szCs w:val="18"/>
          <w:color w:val="auto"/>
        </w:rPr>
        <w:t>,” which date shall be no earlier than five (5) days and no later than thirty (30) days following the date of such notice, unless some longer minimum period may be required by DTC (or any successor depositary selected or approved by the Company)). The Trustee will then promptly mail, or electronically deliver, according to the procedures of DTC, such notice of Special Mandatory Redemption to each Holder of the Securities to be redeemed. Unless the Company defaults in payment of the Special Mandatory Redemption Price, on and after such Special Mandatory Redemption Date, interest will cease to accrue on the Securities to be redeemed.</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any series of the Securities that are due and payable on Interest Payment Dates falling on or prior to the Special Mandatory Redemption Date will be payable on such Interest Payment Dates to the Holders as of the close of business on the Regular Record Dates for the payment of interest in accordance with the Securities and the Indenture.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consummation of the First Merger, the foregoing provisions regarding the Special Mandatory Redemption will cease to apply. For purposes of the foregoing, the First Merger will be deemed consummated if the closing of the First Merger as contemplated under the Merger Agreement occurs, including after giving effect to any amendments, modifications or waivers to the Merger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a majority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(a) the entire indebtedness on this Security and (b) certain restrictive covenants and certain Events of Default, upon compliance by the Company with certain conditions set forth therein, which provisions apply to this Security.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due presentment for registration of transfer of this Security at the office or agency of the Trustee maintained for that purpose in St. Paul, Minnesota, a new Security or Securities of this series in authorized denominations for an equal aggregate principal amount will be issued to the transferee in exchange herefor, as provided in the Indenture and subject to the limitations provided therein and to the limitations described below, without charge except for any tax or other governmental charge imposed in connection therewith.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Security is exchangeable for definitive Securities in registered form only if (x) the Depository notifies the Company that it is unwilling or unable to continue as Depository for this Security or if at any time the Depository ceases to be a clearing agency registered under the Securities Exchange Act of 1934, as amended, or (y) the Company in its sole discretion determines that this Security shall be exchangeable for definitive Securities in registered form and notifies the Trustee thereof. If this Security is exchangeable pursuant to the preceding sentence, it shall be exchangeable for definitive Securities in registered form in denominations of $2,000 and any integral multiple of $1,000 in excess thereof, registered in such names as such Depository shall direct, bearing interest at the same rate, having the same date of issuance, redemption provisions, Stated Maturity and other terms and of differing denominations aggregating a like amount.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Security may not be transferred except as a whole by the Depository to a nominee of the Depository, or by a nominee of the Depository to the Depository or another nominee of the Depository, or by the Depository or any such nominee to a successor of the Depository or a nominee of such successor. Except as provided above, owners of beneficial interests in this global Security will not be entitled to receive physical delivery of Securities in definitive form and will not be considered the Holders hereof for any purpose under the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premium, if any) and interest on this Security at the times, place and rate, and in the coin or currency, herein prescribed, except that in the event the Company deposits money or Government Obligations as provided in Sections 402 or 1006 of the Indenture, such payments will be made only from proceeds of such money or Government Obligations.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premium, if any) or the interest on this Security, or for any claim based hereon, or otherwise in respect hereof, or based on or in respect of the Indenture or any indenture supplemental thereto, against any incorporator, stockholder, officer or director, as such, past, present or future, of the Company or any successor corporation, whether by virtue of any constitution, statute or rule of law, or by the enforcement of any assessment or penalty or otherwise, all such liability being, by the acceptance hereof and as part of the consideration for the issuance hereof, expressly waived and released.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Anything in the Indenture or the Security of this series to the contrary notwithstanding, for the purposes of the transactions contemplated by the Indenture relating to the Security of this series, the Security of this series and any document to be signed in connection with the Indenture or such Security (including the Securities of this series and amendments, supplements, waivers, consents and other modifications, Officers’ Certificates, Company Orders and Opinions of Counsel and other issuance, authentication and delivery documents) or the transactions contemplated hereby may be signed by manual signatures that are scanned, photocopied or faxed or other electronic signatures created on an electronic platform (such as DocuSign) or by digital signature (such as Adobe Sign), in each case that is approved by the Trustee, and contract formations on electronic platforms approved by the Trustee, and the keeping of records in electronic form, are hereby authorized, and each shall be of the same legal effect, validity or enforceability as a manually executed signature in ink or the use of a paper-based recordkeeping system, as the case may be.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in this Security which are defined in the Indenture shall have the meanings assigned to them in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 </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4.7</w:t>
      </w:r>
    </w:p>
    <w:p>
      <w:pPr>
        <w:spacing w:after="0" w:line="230" w:lineRule="auto"/>
        <w:rPr>
          <w:sz w:val="20"/>
          <w:szCs w:val="20"/>
          <w:color w:val="auto"/>
        </w:rPr>
      </w:pPr>
      <w:r>
        <w:rPr>
          <w:rFonts w:ascii="Times New Roman" w:cs="Times New Roman" w:eastAsia="Times New Roman" w:hAnsi="Times New Roman"/>
          <w:sz w:val="22"/>
          <w:szCs w:val="22"/>
          <w:color w:val="auto"/>
        </w:rPr>
        <w:t> </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ELEVENTH SUPPLEMENTAL INDENTURE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This Eleventh Supplemental Indenture, dated as of October 29, 2026 (the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between Kimberly-Clark Corporation, a corporation duly organized and existing under the laws of the State of Delaware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U.S. Bank Trust Company, National Association, a national banking association duly incorporated and existing under the laws of the United States (“</w:t>
      </w:r>
      <w:r>
        <w:rPr>
          <w:rFonts w:ascii="Times New Roman" w:cs="Times New Roman" w:eastAsia="Times New Roman" w:hAnsi="Times New Roman"/>
          <w:sz w:val="18"/>
          <w:szCs w:val="18"/>
          <w:u w:val="single" w:color="auto"/>
          <w:color w:val="auto"/>
        </w:rPr>
        <w:t>U.S. Bank</w:t>
      </w:r>
      <w:r>
        <w:rPr>
          <w:rFonts w:ascii="Times New Roman" w:cs="Times New Roman" w:eastAsia="Times New Roman" w:hAnsi="Times New Roman"/>
          <w:sz w:val="18"/>
          <w:szCs w:val="18"/>
          <w:color w:val="auto"/>
        </w:rPr>
        <w:t>”), as successor trustee in respect of the Future Notes (as defined in the Eighth Supplemental Indenture referred to below)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amends and supplements that certain First Amended and Restated Indenture, dated as of March 1, 1988 (as heretofore supplemented and amended,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between the Corporation, the Trustee and The Bank of New York Mellon Trust Company, N.A., as successor trustee (the “</w:t>
      </w:r>
      <w:r>
        <w:rPr>
          <w:rFonts w:ascii="Times New Roman" w:cs="Times New Roman" w:eastAsia="Times New Roman" w:hAnsi="Times New Roman"/>
          <w:sz w:val="18"/>
          <w:szCs w:val="18"/>
          <w:u w:val="single" w:color="auto"/>
          <w:color w:val="auto"/>
        </w:rPr>
        <w:t>First Trustee</w:t>
      </w:r>
      <w:r>
        <w:rPr>
          <w:rFonts w:ascii="Times New Roman" w:cs="Times New Roman" w:eastAsia="Times New Roman" w:hAnsi="Times New Roman"/>
          <w:sz w:val="18"/>
          <w:szCs w:val="18"/>
          <w:color w:val="auto"/>
        </w:rPr>
        <w:t>”).  </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 OF THE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 has heretofore executed and delivered to the Trustee and the First Trustee the Base Indenture, as amended and supplemented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Supplemental Indenture, dated as of November 6, 1992, the Second Supplemental Indenture, dated as of May 25, 1994, the Third Supplemental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dated as of March 14, 2002, the Fourth Supplemental Indenture, dated as of December 19, 2006, the Fifth Supplemental Indenture, dated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2011, the Sixth Supplemental Indenture, dated as of September 7, 2017, the Seventh Supplemental Indenture, dated as of September 11,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Eighth Supplemental Indenture, dated as of October 27, 2021 (the “</w:t>
      </w:r>
      <w:r>
        <w:rPr>
          <w:rFonts w:ascii="Times New Roman" w:cs="Times New Roman" w:eastAsia="Times New Roman" w:hAnsi="Times New Roman"/>
          <w:sz w:val="18"/>
          <w:szCs w:val="18"/>
          <w:u w:val="single" w:color="auto"/>
          <w:color w:val="auto"/>
        </w:rPr>
        <w:t>Eighth Supplemental Indenture</w:t>
      </w:r>
      <w:r>
        <w:rPr>
          <w:rFonts w:ascii="Times New Roman" w:cs="Times New Roman" w:eastAsia="Times New Roman" w:hAnsi="Times New Roman"/>
          <w:sz w:val="18"/>
          <w:szCs w:val="18"/>
          <w:color w:val="auto"/>
        </w:rPr>
        <w:t>”), the Ninth Supplemental Indenture, dated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 2021 and the Tenth Supplemental Indenture, dated as of February 16, 2023 (the Base Indenture, as so supplemented and amended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November 2, 2025, the Corporation entered into an Agreement and Plan of Merger (as amended, supplemented or modified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Kenvue Inc., a Delaware corporation (“</w:t>
      </w:r>
      <w:r>
        <w:rPr>
          <w:rFonts w:ascii="Times New Roman" w:cs="Times New Roman" w:eastAsia="Times New Roman" w:hAnsi="Times New Roman"/>
          <w:sz w:val="18"/>
          <w:szCs w:val="18"/>
          <w:u w:val="single" w:color="auto"/>
          <w:color w:val="auto"/>
        </w:rPr>
        <w:t>Kenvue</w:t>
      </w:r>
      <w:r>
        <w:rPr>
          <w:rFonts w:ascii="Times New Roman" w:cs="Times New Roman" w:eastAsia="Times New Roman" w:hAnsi="Times New Roman"/>
          <w:sz w:val="18"/>
          <w:szCs w:val="18"/>
          <w:color w:val="auto"/>
        </w:rPr>
        <w:t>” which term as used herein includes Second Merger Sub (the successor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Kenvue) following the consummation of the Second Merger as described below), Vesta Sub I, Inc., a Delaware corporation and a direct wholly owned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of the Corporation (“</w:t>
      </w:r>
      <w:r>
        <w:rPr>
          <w:rFonts w:ascii="Times New Roman" w:cs="Times New Roman" w:eastAsia="Times New Roman" w:hAnsi="Times New Roman"/>
          <w:sz w:val="18"/>
          <w:szCs w:val="18"/>
          <w:u w:val="single" w:color="auto"/>
          <w:color w:val="auto"/>
        </w:rPr>
        <w:t>First Merger Sub</w:t>
      </w:r>
      <w:r>
        <w:rPr>
          <w:rFonts w:ascii="Times New Roman" w:cs="Times New Roman" w:eastAsia="Times New Roman" w:hAnsi="Times New Roman"/>
          <w:sz w:val="18"/>
          <w:szCs w:val="18"/>
          <w:color w:val="auto"/>
        </w:rPr>
        <w:t>”), and Vesta Sub II, LLC, a Delaware limited liability company and a direct wholly owned subsidiary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w:t>
      </w:r>
      <w:r>
        <w:rPr>
          <w:rFonts w:ascii="Times New Roman" w:cs="Times New Roman" w:eastAsia="Times New Roman" w:hAnsi="Times New Roman"/>
          <w:sz w:val="18"/>
          <w:szCs w:val="18"/>
          <w:u w:val="single" w:color="auto"/>
          <w:color w:val="auto"/>
        </w:rPr>
        <w:t>Second Merger Sub</w:t>
      </w:r>
      <w:r>
        <w:rPr>
          <w:rFonts w:ascii="Times New Roman" w:cs="Times New Roman" w:eastAsia="Times New Roman" w:hAnsi="Times New Roman"/>
          <w:sz w:val="18"/>
          <w:szCs w:val="18"/>
          <w:color w:val="auto"/>
        </w:rPr>
        <w:t>”). Under the terms of the Merger Agreement, First Merger Sub will merge with and into Kenvue (the “</w:t>
      </w:r>
      <w:r>
        <w:rPr>
          <w:rFonts w:ascii="Times New Roman" w:cs="Times New Roman" w:eastAsia="Times New Roman" w:hAnsi="Times New Roman"/>
          <w:sz w:val="18"/>
          <w:szCs w:val="18"/>
          <w:u w:val="single" w:color="auto"/>
          <w:color w:val="auto"/>
        </w:rPr>
        <w:t>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Kenvue surviving as a direct wholly owned subsidiary of the Corporation (the “</w:t>
      </w:r>
      <w:r>
        <w:rPr>
          <w:rFonts w:ascii="Times New Roman" w:cs="Times New Roman" w:eastAsia="Times New Roman" w:hAnsi="Times New Roman"/>
          <w:sz w:val="18"/>
          <w:szCs w:val="18"/>
          <w:u w:val="single" w:color="auto"/>
          <w:color w:val="auto"/>
        </w:rPr>
        <w:t>Initial Surviving Company</w:t>
      </w:r>
      <w:r>
        <w:rPr>
          <w:rFonts w:ascii="Times New Roman" w:cs="Times New Roman" w:eastAsia="Times New Roman" w:hAnsi="Times New Roman"/>
          <w:sz w:val="18"/>
          <w:szCs w:val="18"/>
          <w:color w:val="auto"/>
        </w:rPr>
        <w:t>”), and immediately following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Merger, and as part of the same overall transaction as the First Merger, the Initial Surviving Company will merge with and into Second Merger Sub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with Second Merger Sub surviving the Second Merger as a direct wholly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subsidiary of the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Acquisition, on September 28, 2026, the Corporation commenced exchange offers (the “</w:t>
      </w:r>
      <w:r>
        <w:rPr>
          <w:rFonts w:ascii="Times New Roman" w:cs="Times New Roman" w:eastAsia="Times New Roman" w:hAnsi="Times New Roman"/>
          <w:sz w:val="18"/>
          <w:szCs w:val="18"/>
          <w:u w:val="single" w:color="auto"/>
          <w:color w:val="auto"/>
        </w:rPr>
        <w:t>Exchange Offers</w:t>
      </w:r>
      <w:r>
        <w:rPr>
          <w:rFonts w:ascii="Times New Roman" w:cs="Times New Roman" w:eastAsia="Times New Roman" w:hAnsi="Times New Roman"/>
          <w:sz w:val="18"/>
          <w:szCs w:val="18"/>
          <w:color w:val="auto"/>
        </w:rPr>
        <w:t>”) for any and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notes issued by Kenvue, for up to $7.0 billion aggregate principal amount of new notes issued by the Corporation and cash, subject to the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conditions described in the confidential offering memorandum and consent solicitation statement, dated September 28, 2026 (as the same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or supplemented from time to time, the “</w:t>
      </w:r>
      <w:r>
        <w:rPr>
          <w:rFonts w:ascii="Times New Roman" w:cs="Times New Roman" w:eastAsia="Times New Roman" w:hAnsi="Times New Roman"/>
          <w:sz w:val="18"/>
          <w:szCs w:val="18"/>
          <w:u w:val="single" w:color="auto"/>
          <w:color w:val="auto"/>
        </w:rPr>
        <w:t>EOM</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301 of the Base Indenture provides for the issuance from time to time of unsecured debentures, notes and/or other evidences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of the Corporation, issuable in one or more series under and in accordance with the terms of the Base Indenture.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has duly authorized the creation of (i) an issue of its Securities named its 5.100% Notes due October 29, 2028 (the “</w:t>
      </w:r>
      <w:r>
        <w:rPr>
          <w:rFonts w:ascii="Times New Roman" w:cs="Times New Roman" w:eastAsia="Times New Roman" w:hAnsi="Times New Roman"/>
          <w:sz w:val="18"/>
          <w:szCs w:val="18"/>
          <w:u w:val="single" w:color="auto"/>
          <w:color w:val="auto"/>
        </w:rPr>
        <w:t>2028 Notes</w:t>
      </w:r>
      <w:r>
        <w:rPr>
          <w:rFonts w:ascii="Times New Roman" w:cs="Times New Roman" w:eastAsia="Times New Roman" w:hAnsi="Times New Roman"/>
          <w:sz w:val="18"/>
          <w:szCs w:val="18"/>
          <w:color w:val="auto"/>
        </w:rPr>
        <w:t>”), (ii) an issue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its Securities named its 5.300% Notes due October 29, 2029 (the “</w:t>
      </w:r>
      <w:r>
        <w:rPr>
          <w:rFonts w:ascii="Times New Roman" w:cs="Times New Roman" w:eastAsia="Times New Roman" w:hAnsi="Times New Roman"/>
          <w:sz w:val="18"/>
          <w:szCs w:val="18"/>
          <w:u w:val="single" w:color="auto"/>
          <w:color w:val="auto"/>
        </w:rPr>
        <w:t>2029 Notes</w:t>
      </w:r>
      <w:r>
        <w:rPr>
          <w:rFonts w:ascii="Times New Roman" w:cs="Times New Roman" w:eastAsia="Times New Roman" w:hAnsi="Times New Roman"/>
          <w:sz w:val="18"/>
          <w:szCs w:val="18"/>
          <w:color w:val="auto"/>
        </w:rPr>
        <w:t>”), (iii) an issue of its Securities named its 5.450% Notes due October 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2031 (the “</w:t>
      </w:r>
      <w:r>
        <w:rPr>
          <w:rFonts w:ascii="Times New Roman" w:cs="Times New Roman" w:eastAsia="Times New Roman" w:hAnsi="Times New Roman"/>
          <w:sz w:val="18"/>
          <w:szCs w:val="18"/>
          <w:u w:val="single" w:color="auto"/>
          <w:color w:val="auto"/>
        </w:rPr>
        <w:t>2031 Notes</w:t>
      </w:r>
      <w:r>
        <w:rPr>
          <w:rFonts w:ascii="Times New Roman" w:cs="Times New Roman" w:eastAsia="Times New Roman" w:hAnsi="Times New Roman"/>
          <w:sz w:val="18"/>
          <w:szCs w:val="18"/>
          <w:color w:val="auto"/>
        </w:rPr>
        <w:t>”), (iv) an issue of its Securities named its 5.650% Notes due January 29, 2034 (the “</w:t>
      </w:r>
      <w:r>
        <w:rPr>
          <w:rFonts w:ascii="Times New Roman" w:cs="Times New Roman" w:eastAsia="Times New Roman" w:hAnsi="Times New Roman"/>
          <w:sz w:val="18"/>
          <w:szCs w:val="18"/>
          <w:u w:val="single" w:color="auto"/>
          <w:color w:val="auto"/>
        </w:rPr>
        <w:t>2034 Notes</w:t>
      </w:r>
      <w:r>
        <w:rPr>
          <w:rFonts w:ascii="Times New Roman" w:cs="Times New Roman" w:eastAsia="Times New Roman" w:hAnsi="Times New Roman"/>
          <w:sz w:val="18"/>
          <w:szCs w:val="18"/>
          <w:color w:val="auto"/>
        </w:rPr>
        <w:t>”) and (v) an issue of its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 its 5.800% Notes due October 29, 2036 (the “</w:t>
      </w:r>
      <w:r>
        <w:rPr>
          <w:rFonts w:ascii="Times New Roman" w:cs="Times New Roman" w:eastAsia="Times New Roman" w:hAnsi="Times New Roman"/>
          <w:sz w:val="18"/>
          <w:szCs w:val="18"/>
          <w:u w:val="single" w:color="auto"/>
          <w:color w:val="auto"/>
        </w:rPr>
        <w:t>2036 Notes</w:t>
      </w:r>
      <w:r>
        <w:rPr>
          <w:rFonts w:ascii="Times New Roman" w:cs="Times New Roman" w:eastAsia="Times New Roman" w:hAnsi="Times New Roman"/>
          <w:sz w:val="18"/>
          <w:szCs w:val="18"/>
          <w:color w:val="auto"/>
        </w:rPr>
        <w:t>” and, collectively with the 2028 Notes, the 2029 Notes, the 2031 Notes and the 2034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each of the tenor and in the amount hereinafter set forth.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901(5) of the Base Indenture provides that the Corporation and the Trustee may enter into a supplemental indenture to change or eliminate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provision of the Base Indenture with respect to any series of Securities to be issued under the Base Indenture, provided that such change or elimination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not be effective as to any Security Outstanding of any series created prior to the execution of such supplemental indenture which is entitled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of such provision.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901(7) of the Base Indenture provides that the Corporation, without the consent of any Holders, when authorized by a Board Resolution, and the Trustee, at any time and from time to time, may enter into one or more indentures supplemental to the Indenture, in form satisfactory to the Trustee, to establish, among other things, the form or terms of Securities of any series as permitted by Sections 201 and 301 of the Base Indenture.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901(9) of the Base Indenture provides that the Corporation, without the consent of any Holders, when authorized by a Board Resolution,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Trustee, at any time and from time to time, may enter into one or more indentures supplemental to the Indenture, to cure any ambiguity, to correct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supplement any provision in the Base Indenture which may be inconsistent with any other provision herein, or to make any other provisions with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matters or questions arising under the Base Indenture, provided such action shall not adversely affect the interests of the Holders of Securities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in any material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The Corporation wishes and has requested that the Trustee join with it in the execution and delivery of this Supplemental Indenture and the Corporation has provided the Trustee with a Board Resolution authorizing the execution of and approving this Supplemental Indenture.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Section 901(5), Section 901(7) and 901(9) of the Base Indenture, the Trustee is authorized to execute and deliver this Supplemental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 has duly authorized the execution and delivery of this Supplemental Indenture, and all things necessary have been done to make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having a total aggregate principal amount of $4,900,000,000, when executed by the Corporation and authenticated and delivered pursuant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and this Supplemental Indenture and duly issued by the Corporation, the valid obligations of the Corporation, and to make this Supplemental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a valid agreement of the Corporation, in accordance with its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things necessary have been done to make this Supplemental Indenture a valid and legally binding agreement of the Corporation,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its terms and to make the Notes, when executed by the Corporation and authenticated and delivered under the Indenture and duly issued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the valid and legally binding obligations of the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THIS SUPPLEMENTAL INDENTURE WITNESSETH: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For and in consideration of the premises and the purchase of the Securities of the series provided for herein, it is mutually covenanted and agreed, for the equal and proportionate benefit of all Holders of the Securities of such series, as follows: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Interest</w:t>
      </w:r>
      <w:r>
        <w:rPr>
          <w:rFonts w:ascii="Times New Roman" w:cs="Times New Roman" w:eastAsia="Times New Roman" w:hAnsi="Times New Roman"/>
          <w:sz w:val="18"/>
          <w:szCs w:val="18"/>
          <w:color w:val="auto"/>
        </w:rPr>
        <w:t>” has the meaning set forth in the Registration Rights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Procedures</w:t>
      </w:r>
      <w:r>
        <w:rPr>
          <w:rFonts w:ascii="Times New Roman" w:cs="Times New Roman" w:eastAsia="Times New Roman" w:hAnsi="Times New Roman"/>
          <w:sz w:val="18"/>
          <w:szCs w:val="18"/>
          <w:color w:val="auto"/>
        </w:rPr>
        <w:t>” means, with respect to any transfer or transaction involving a Global Note or beneficial interest therein, the rules and procedures of DTC, Euroclear and/or Clearstream, in each case to the extent applicable to such transaction and as in effect from time to time;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Clearstream</w:t>
      </w:r>
      <w:r>
        <w:rPr>
          <w:rFonts w:ascii="Times New Roman" w:cs="Times New Roman" w:eastAsia="Times New Roman" w:hAnsi="Times New Roman"/>
          <w:sz w:val="18"/>
          <w:szCs w:val="18"/>
          <w:color w:val="auto"/>
        </w:rPr>
        <w:t>” means Clearstream Banking, S.A., Luxembourg;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means the Trustee, as custodian with respect to the Notes, or any successor entity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 and any successor of The Depository Trust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Euroclear</w:t>
      </w:r>
      <w:r>
        <w:rPr>
          <w:rFonts w:ascii="Times New Roman" w:cs="Times New Roman" w:eastAsia="Times New Roman" w:hAnsi="Times New Roman"/>
          <w:sz w:val="18"/>
          <w:szCs w:val="18"/>
          <w:color w:val="auto"/>
        </w:rPr>
        <w:t>” means Euroclear Bank S.A./N.V., as operator of the Euroclear System and any successor of Euroclear Bank S.A./N.V.;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Notes</w:t>
      </w:r>
      <w:r>
        <w:rPr>
          <w:rFonts w:ascii="Times New Roman" w:cs="Times New Roman" w:eastAsia="Times New Roman" w:hAnsi="Times New Roman"/>
          <w:sz w:val="18"/>
          <w:szCs w:val="18"/>
          <w:color w:val="auto"/>
        </w:rPr>
        <w:t>” has the meaning specified in the Registration Rights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means 5:00 p.m., New York City time, on November 2, 2026, as the same may be extended from time to time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terms of the EOM;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Notes</w:t>
      </w:r>
      <w:r>
        <w:rPr>
          <w:rFonts w:ascii="Times New Roman" w:cs="Times New Roman" w:eastAsia="Times New Roman" w:hAnsi="Times New Roman"/>
          <w:sz w:val="18"/>
          <w:szCs w:val="18"/>
          <w:color w:val="auto"/>
        </w:rPr>
        <w:t>” means the Notes issued pursuant to this Supplemental Indenture on the date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Measurement Date</w:t>
      </w:r>
      <w:r>
        <w:rPr>
          <w:rFonts w:ascii="Times New Roman" w:cs="Times New Roman" w:eastAsia="Times New Roman" w:hAnsi="Times New Roman"/>
          <w:sz w:val="18"/>
          <w:szCs w:val="18"/>
          <w:color w:val="auto"/>
        </w:rPr>
        <w:t>” means, with respect to the 2028 Notes, the maturity date, with respect to the 2029 Notes, September 29, 2029 (one month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maturity date of the 2029 Notes), with respect to the 2031 Notes, September 29, 2031 (one month prior to the maturity date of the 2031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the 2034 Notes, November 29, 2033 (two months prior to the maturity date of the 2034 Notes), and with respect to the 2036 Notes, July 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2036 (three months prior to the maturity date of the 2036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means that certain Purchase Agreement, dated as of October 19, 2026, by and among the Corporation and J.P. Morgan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LLC, Citigroup Global Markets Inc. and Morgan Stanley &amp; Co. LLC, as representatives (collectively,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of the several initial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purchasers listed in Schedule 1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 means qualified institutional buyer as specified in Rule 144A promulgated under the 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Exchange Offer</w:t>
      </w:r>
      <w:r>
        <w:rPr>
          <w:rFonts w:ascii="Times New Roman" w:cs="Times New Roman" w:eastAsia="Times New Roman" w:hAnsi="Times New Roman"/>
          <w:sz w:val="18"/>
          <w:szCs w:val="18"/>
          <w:color w:val="auto"/>
        </w:rPr>
        <w:t>” means the offer by the Corporation, pursuant to the Registration Rights Agreement, to certain Holders of Initial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issue and deliver to such Holders, in exchange for their Initial Notes, a like aggregate principal amount of Exchange Notes in an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under the 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w:t>
      </w:r>
      <w:r>
        <w:rPr>
          <w:rFonts w:ascii="Times New Roman" w:cs="Times New Roman" w:eastAsia="Times New Roman" w:hAnsi="Times New Roman"/>
          <w:sz w:val="18"/>
          <w:szCs w:val="18"/>
          <w:color w:val="auto"/>
        </w:rPr>
        <w:t>” means Regulation S promulgated under the 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 Notes</w:t>
      </w:r>
      <w:r>
        <w:rPr>
          <w:rFonts w:ascii="Times New Roman" w:cs="Times New Roman" w:eastAsia="Times New Roman" w:hAnsi="Times New Roman"/>
          <w:sz w:val="18"/>
          <w:szCs w:val="18"/>
          <w:color w:val="auto"/>
        </w:rPr>
        <w:t>” means all Notes offered and sold in an offshore transaction in reliance on Regulation 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the Registration Rights Agreement, dated as of October 29, 2026, by and among the Corporation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Notes Legend</w:t>
      </w:r>
      <w:r>
        <w:rPr>
          <w:rFonts w:ascii="Times New Roman" w:cs="Times New Roman" w:eastAsia="Times New Roman" w:hAnsi="Times New Roman"/>
          <w:sz w:val="18"/>
          <w:szCs w:val="18"/>
          <w:color w:val="auto"/>
        </w:rPr>
        <w:t>” means the legends set forth in Section 2.4(iv) hereof, other than the Global Notes Legend;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Period</w:t>
      </w:r>
      <w:r>
        <w:rPr>
          <w:rFonts w:ascii="Times New Roman" w:cs="Times New Roman" w:eastAsia="Times New Roman" w:hAnsi="Times New Roman"/>
          <w:sz w:val="17"/>
          <w:szCs w:val="17"/>
          <w:color w:val="auto"/>
        </w:rPr>
        <w:t>” means the period that is (i) one year (in the case of Rule 144A Notes) after the later of the issue date of the Notes issued hereby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other issue date in respect of a further issuance of Notes of the same series of the Notes issued hereby and the last date that the Corporation or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its Affiliates was the owner of the Notes or any predecessor of the Notes or (ii) 40 days (in the case of Regulation S Notes) after the later of the issue date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issued hereby or any other issue date in respect of a further issuance of Notes of the same series of the Notes issued hereby and the date on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(or any predecessor of the Notes) were first offered to Persons other than distributors (as defined in Rule 902 of Regulation S) in reliance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under the 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means Rule 144A promulgated under the 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 Notes</w:t>
      </w:r>
      <w:r>
        <w:rPr>
          <w:rFonts w:ascii="Times New Roman" w:cs="Times New Roman" w:eastAsia="Times New Roman" w:hAnsi="Times New Roman"/>
          <w:sz w:val="18"/>
          <w:szCs w:val="18"/>
          <w:color w:val="auto"/>
        </w:rPr>
        <w:t>” means all Notes offered and sold to purchasers reasonably believed to be QIBs in reliance on Rule 144A;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Restricted Note</w:t>
      </w:r>
      <w:r>
        <w:rPr>
          <w:rFonts w:ascii="Times New Roman" w:cs="Times New Roman" w:eastAsia="Times New Roman" w:hAnsi="Times New Roman"/>
          <w:sz w:val="18"/>
          <w:szCs w:val="18"/>
          <w:color w:val="auto"/>
        </w:rPr>
        <w:t>” means any Note that bears or is required to bear a Restricted Notes Legend.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u w:val="single" w:color="auto"/>
          <w:color w:val="auto"/>
        </w:rPr>
        <w:t>  Issuance of Securities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(i)             The title of the Notes shall be: 5.100% Notes due October 29, 2028; 5.300% Notes due October 29, 2029; 5.450% Notes due October 29, 2031; 5.650% Notes due January 29, 2034; and 5.800% Notes due October 29, 2036.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(ii)            (a) The initial aggregate principal amount of the 2028 Notes that may be authenticated and delivered under the Indenture shall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$750,000,000, (b) the aggregate principal amount of the 2029 Notes that may be authenticated and delivered under the Indenture shall be $1,000,000,000,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the aggregate principal amount of the 2031 Notes that may be authenticated and delivered under the Indenture shall be $1,250,000,000, (d)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the 2034 Notes that may be authenticated and delivered under the Indenture shall be $750,000,000 and (e) the aggregate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the 2036 Notes that may be authenticated and delivered under the Indenture shall be $1,150,000,000; except, in each case, for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authenticated and delivered upon registration of transfer of, or in exchange for, or in lieu of, other Securities pursuant to or as contemplated by Sections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304, 305, 306, 906 or 1107 of the Indenture or any Exchange Notes issued with respect to the Notes of such series in accordance with the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(iii)           (a) The principal of the 2028 Notes shall be payable on October 29, 2028, (b) the principal of the 2029 Notes shall be payable on October 29, 2029, (c) the principal of the 2031 Notes shall be payable on October 29, 2031, (d) the principal of the 2034 Notes shall be payable on January 29, 2034 and (e) the principal of the 2036 Notes shall be payable on October 29, 2036.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(a) the 2028 Notes shall bear interest at 5.100% per annum, and such interest shall accrue from October 29, 2026; the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Dates on which such interest shall be payable shall be April 29 and October 29 of each year commencing April 29, 2027; and the Regular Record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Dates for the interest payable on any Interest Payment Dates shall be April 14 and October 14, respectively, (b) the 2029 Notes shall bear interest at 5.300%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annum, and such interest shall accrue from October 29, 2026; the Interest Payment Dates on which such interest shall be payable shall be April 29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of each year commencing April 29, 2027; and the Regular Record Dates for the interest payable on any Interest Payment Dates shall be April 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October 14, respectively, (c) the 2031 Notes shall bear interest at 5.450% per annum, and such interest shall accrue from October 29, 2026; the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Dates on which such interest shall be payable shall be April 29 and October 29 of each year commencing April 29, 2027; and the Regular Record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Dates for the interest payable on any Interest Payment Dates shall be April 14 and October 14, respectively, (d) the 2034 Notes shall bear interest at 5.650%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annum, and such interest shall accrue from October 29, 2026; the Interest Payment Dates on which such interest shall be payable shall be January 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July 29 of each year commencing January 29, 2027; and the Regular Record Dates for the interest payable on any Interest Payment Dates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14 and July 14, respectively and (e) the 2036 Notes shall bear interest at 5.800% per annum, and such interest shall accrue from October 29,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Interest Payment Dates on which such interest shall be payable shall be April 29 and October 29 of each year commencing April 29, 2027;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Regular Record Dates for the interest payable on any Interest Payment Dates shall be April 14 and October 14, respectively. All references in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any interest or other amount payable on or with respect to the Notes of a series will be deemed to include Additional Interest pursuant to the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Agreement, if any. Any amounts of Additional Interest due will be payable in cash on the same original Interest Payment Dates as interest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is payable.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(v)            The Corporation may from time to time, without notice to or the consent of the Holders of the Notes, create and issue additional Notes ranking equally with the Notes in all respects (or in all respects other than the payment of interest accruing prior to the issue date of such additional Notes or except, in some cases, for the first payment of interest following the issue date of such additional Notes). Such additional Notes may be consolidated and form a single series with the previously issued Notes and have the same terms as to status, redemption or otherwise as the Notes.  </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(vi)           The Notes shall be issued in minimum denominations of $2,000 and integral multiples of $1,000 in excess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          The Notes shall not be entitled to any sinking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(viii)         The Notes shall be represented by one or more Global Securities registered in the name of DTC or its nominee.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(ix)            Sections 402 and 1006 of the Indenture, as amended by this Supplemental Indenture, captioned “Defeasance and Discharge of Securities of Any Series” and “Defeasance of Certain Obligations,” respectively, shall apply to the Notes.  </w:t>
      </w:r>
    </w:p>
    <w:p>
      <w:pPr>
        <w:spacing w:after="0" w:line="200"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(x)             Anything in the Indenture or the Notes of a series to the contrary notwithstanding, for the purposes of the transactions contemplated by the Indenture relating to the Notes of a series, the Notes of a series and any document to be signed in connection with the Indenture or such Notes (including the Notes and amendments, supplements, waivers, consents and other modifications, Officers’ Certificates, Company Orders and Opinions of Counsel and other issuance, authentication and delivery documents) or the transactions contemplated hereby may be signed by manual signatures that are scanned, photocopied or faxed or other electronic signatures created on an electronic platform (such as DocuSign) or by digital signature (such as Adobe Sign), in each case that is approved by the Trustee, and contract formations on electronic platforms approved by the Trustee, and the keeping of records in electronic form, are hereby authorized, and each shall be of the same legal effect, validity or enforceability as a manually executed signature in ink or the use of a paper-based recordkeeping system, as the case may be.  </w:t>
      </w:r>
    </w:p>
    <w:p>
      <w:pPr>
        <w:spacing w:after="0" w:line="212"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(xi)            Each of the officers of the Corporation whose signature is affixed to this Supplemental Indenture further states pursuant to Section 102 of the Indenture that she or he has read the provisions of such Indenture setting forth the covenants and conditions relating to the issuance, authentication and delivery of the Notes, including Sections 201, 301 and 303 of the Indenture, and the definitions relating thereto; that the statements made in this Supplemental Indenture are based upon the examination of such provisions of the Indenture and upon the relevant books and records of the Corporation; that she or he has, in her or his opinion, made such examination or investigation as is necessary to enable her or him to express an informed opinion as to whether or not the covenants and conditions relating to the issuance, authentication and delivery of the Notes have been complied with; and that, in her or his opinion, such covenants and conditions, and all conditions precedent, have been complied with.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(xii)          The Corporation will make payments of principal and premium, if any, and interest on the Notes, and the Holder may exchange and transfer the Notes, at the office of the Trustee at U.S. Bank Trust Company, National Association, Global Corporate Trust, 111 Fillmore Ave E, St. Paul, MN 55107. The Corporation may elect to pay any interest by check mailed by first class mail to the address of the Person entitled to receive the payment as it appears in the Trustee’s security register. Payments in respect of Notes represented by a Global Note (including principal, premium, if any, and interest) will be made by wire transfer of immediately available funds to the accounts specified by DTC.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2.2.          </w:t>
      </w:r>
      <w:r>
        <w:rPr>
          <w:rFonts w:ascii="Times New Roman" w:cs="Times New Roman" w:eastAsia="Times New Roman" w:hAnsi="Times New Roman"/>
          <w:sz w:val="18"/>
          <w:szCs w:val="18"/>
          <w:u w:val="single" w:color="auto"/>
          <w:color w:val="auto"/>
        </w:rPr>
        <w:t>  Redemption of the Notes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(i)             Prior to the applicable Measurement Date, the Corporation may redeem the applicable series of the Notes at its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such series of the Notes matured on the applicable Measurement Date) on a semi-annual basis (assuming a 360-day year consisting of twelve 30-day months) at the Treasury Rate plus 10 basis points in the case of the 2028 Notes, 10 basis points in the case of the 2029 Notes, 10 basis points in the case of the 2031 Notes, 15 basis points in the case of the 2034 Notes or 15 basis points in the case of the 2036 Notes, less (b) interest accrued to, but excluding, the Redemption Date, and (2) 100% of the principal amount of the Notes to be redeemed, plus, in either case, accrued and unpaid interest thereon to, but excluding, the Redemption Date. On or after the applicable Measurement Date, the Corporation may redeem the applicable series of the Notes, in whole or in part, at any time and from time to time, at a Redemption Price equal to 100% of the principal amount of such series of the Notes being redeemed plus accrued and unpaid interest thereon to, but excluding, the Redemption Date.  </w:t>
      </w:r>
    </w:p>
    <w:p>
      <w:pPr>
        <w:spacing w:after="0" w:line="2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the yield determined by the Corporation in accordance with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paragraphs.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The Treasury Rate will be determined by the Corporation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the Corporation will select, as applicable: (1) the yield for the Treasury constant maturity on H.15 exactly equal to the period from the Redemption Date to the applicable Measurement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Measurement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on the third Business Day preceding the Redemption Date H.15 or any successor designation or publication TCM is no longer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published, the Corporation will calculate the Treasury Rate based on the rate per annum equal to the semi-annual equivalent yield to maturity at 11:00 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City time, on the second Business Day preceding such Redemption Date of the United States Treasury security maturing on, or with a maturity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is closest to, the applicable Measurement Date, as applicable. If there is no United States Treasury security maturing on the applicable Measurement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but there are two or more United States Treasury securities with a maturity date equally distant from the applicable Measurement Date, one with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 preceding the applicable Measurement Date and one with a maturity date following the applicable Measurement Date, the Corporation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 the United States Treasury security with a maturity date preceding the applicable Measurement Date. If there are two or more United States Treasury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maturing on the applicable Measurement Date or two or more United States Treasury securities meeting the criteria of the preceding sentence,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will select from among these two or more United States Treasury securities the United States Treasury security that is trading closest to par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average of the bid and asked prices for such United States Treasury securities at 11:00 a.m., New York City time. In determining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Rate in accordance with the terms of this paragraph, the semi-annual yield to maturity of the applicable United States Treasury security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average of the bid and asked prices (expressed as a percentage of principal amount) at 11:00 a.m., New York City time, of such United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States Treasury security, and rounded to three decimal places.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Corporation’s actions and determinations in determining the Redemption Price shall be conclusive and binding for all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absent manifest error.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Corporation shall notify the Trustee of the Redemption Price promptly after the calculation thereof, and the Trustee may rely upon the Redemption Price contained in any such notice and the Trustee shall not be responsible for, or be liable in connection with, the calculation of such Redemption Price (or any component thereof) or for determining whether manifest error has occurred.  </w:t>
      </w:r>
    </w:p>
    <w:p>
      <w:pPr>
        <w:spacing w:after="0" w:line="20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the foregoing, installments of interest on any series of the Notes that are due and payable on Interest Payment Dates falling on or prior to the Redemption Date will be payable on such Interest Payment Dates to the registered holders as of the close of business on the Regular Record Dates for the payment of interest in accordance with the Notes and the Indenture.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Notice of any redemption shall be given in the manner provided in Article Eleven of the Indenture; provided, however, that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will be mailed or electronically delivered (or otherwise transmitted in accordance with the Depository’s procedures) at least 10 days but not 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60 days before the Redemption Date to each Holder of the Notes to be redeemed. Notice of any redemption of the Notes may, at the Corporation’s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 be given subject to one or more conditions precedent, including, but not limited to, completion of a corporate transaction. If such redemption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subject to satisfaction of one or more conditions precedent, such notice shall describe each such condition, and, if applicable, will state that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Corporation’s discretion, the Redemption Date may be delayed (including more than 60 days after the notice of redemption was given) until such time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or all such conditions precedent will be satisfied (or waived by the Corporation in the Corporation’s sole discretion), or such notice may be rescinded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event that any or all such conditions shall not have been satisfied or otherwise waived by the Redemption Date, or by the Redemption Date as 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delayed. If any such redemption has been rescinded or delayed, the Corporation will provide written notice to the Trustee prior to the close of business two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Days before the Redemption Date and, upon receipt, the Trustee will provide such notice to each registered holder of the Notes. Once notice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is mailed or sent, subject to the satisfaction or waiver (in the Corporation’s sole discretion) of any conditions precedent provided in the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redemption, the Notes called for redemption will become due and payable on the Redemption Date and at the applicable Redemption Price, plus accrued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unpaid interest to the Redemption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discretion deems appropriate and fair. No Notes of a principal amount of $2,000 or less will be redeemed in part. If any Note is to be redeemed in part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the notice of redemption that relates to the Note will state the portion of the principal amount of the Note to be redeemed. A new Note in a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equal to the unredeemed portion of the Note will be issued in the name of the holder of the Note upon surrender for cancellation of the original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so long as the Notes are held by DTC (or another depositary), the redemption of the Notes, including the allocation of the Redemption Price among beneficial owners of the Notes, shall be done in accordance with the Applicable Procedures. Unless the Corporation defaults in payment of the Redemption Price, on and after the Redemption Date interest will cease to accrue on the Notes or portions thereof called for redemption.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(iii)            If (i) the First Merger has not been consummated prior to the date that is five (5) Business Days after the later of (x) May 31, 2027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(y) any later date as the parties to the Merger Agreement may agree as the “Outside Date” thereunder or (ii) the Corporation notifies the Trustee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will not pursue the consummation of the First Merger (each of (i) and (ii), a “</w:t>
      </w:r>
      <w:r>
        <w:rPr>
          <w:rFonts w:ascii="Times New Roman" w:cs="Times New Roman" w:eastAsia="Times New Roman" w:hAnsi="Times New Roman"/>
          <w:sz w:val="18"/>
          <w:szCs w:val="18"/>
          <w:u w:val="single" w:color="auto"/>
          <w:color w:val="auto"/>
        </w:rPr>
        <w:t>Special Mandatory Redemption Trigger</w:t>
      </w:r>
      <w:r>
        <w:rPr>
          <w:rFonts w:ascii="Times New Roman" w:cs="Times New Roman" w:eastAsia="Times New Roman" w:hAnsi="Times New Roman"/>
          <w:sz w:val="18"/>
          <w:szCs w:val="18"/>
          <w:color w:val="auto"/>
        </w:rPr>
        <w:t>”), then the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required to redeem all Outstanding Notes (such redemption, the “</w:t>
      </w:r>
      <w:r>
        <w:rPr>
          <w:rFonts w:ascii="Times New Roman" w:cs="Times New Roman" w:eastAsia="Times New Roman" w:hAnsi="Times New Roman"/>
          <w:sz w:val="18"/>
          <w:szCs w:val="18"/>
          <w:u w:val="single" w:color="auto"/>
          <w:color w:val="auto"/>
        </w:rPr>
        <w:t>Special Mandatory Redemption</w:t>
      </w:r>
      <w:r>
        <w:rPr>
          <w:rFonts w:ascii="Times New Roman" w:cs="Times New Roman" w:eastAsia="Times New Roman" w:hAnsi="Times New Roman"/>
          <w:sz w:val="18"/>
          <w:szCs w:val="18"/>
          <w:color w:val="auto"/>
        </w:rPr>
        <w:t>”) at a special mandatory redemption price equal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 of the aggregate principal amount of the Notes, plus accrued and unpaid interest, if any, to, but not including, the Special Mandatory Redemption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(the “</w:t>
      </w:r>
      <w:r>
        <w:rPr>
          <w:rFonts w:ascii="Times New Roman" w:cs="Times New Roman" w:eastAsia="Times New Roman" w:hAnsi="Times New Roman"/>
          <w:sz w:val="18"/>
          <w:szCs w:val="18"/>
          <w:u w:val="single" w:color="auto"/>
          <w:color w:val="auto"/>
        </w:rPr>
        <w:t>Special Mandatory Redemption Price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the event that the Corporation becomes obligated to redeem the Notes pursuant to the Special Mandatory Redemption, the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promptly, and in any event not more than ten (10) Business Days after the date on which a Special Mandatory Redemption Trigger occurred, deliver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to the Trustee of the Special Mandatory Redemption and the date upon which the Notes will be redeemed (the “</w:t>
      </w:r>
      <w:r>
        <w:rPr>
          <w:rFonts w:ascii="Times New Roman" w:cs="Times New Roman" w:eastAsia="Times New Roman" w:hAnsi="Times New Roman"/>
          <w:sz w:val="18"/>
          <w:szCs w:val="18"/>
          <w:u w:val="single" w:color="auto"/>
          <w:color w:val="auto"/>
        </w:rPr>
        <w:t>Special Mandatory Redemption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which date shall be no earlier than five (5) days and no later than thirty (30) days following the date of such notice, unless some longer minimum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may be required by DTC (or any successor depositary selected or approved by the Corporation)). The Trustee will promptly mail, or electronically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 according to the Applicable Procedures, such notice of Special Mandatory Redemption to each registered holder of the Notes to be redeemed.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Corporation defaults in payment of the Special Mandatory Redemption Price, on and after such Special Mandatory Redemption Date,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cease to accrue on the Notes to be redeemed.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Prior to 11:00 a.m., New York City time, on the Special Mandatory Redemption Date, the Corporation shall deposit with the Trustee or with a Paying Agent (or, if the Corporation is acting as its own Paying Agent, segregate and hold in trust as provided in Section 1003 of the Indenture) an amount of money sufficient to pay the Special Mandatory Redemption Price of all the Notes which are to be redeemed on that date.  </w:t>
      </w:r>
    </w:p>
    <w:p>
      <w:pPr>
        <w:spacing w:after="0" w:line="20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Notwithstanding the foregoing, installments of interest on any series of the Notes that are due and payable on Interest Payment Dates falling on or prior to the Special Mandatory Redemption Date will be payable on such Interest Payment Dates to the registered holders as of the close of business on the Regular Record Dates for the payment of interest in accordance with the Notes and the Indenture.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the avoidance of doubt, Article Eleven of the Indenture shall not apply to the Special Mandatory Redemption.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The Trustee shall have no responsibility for determining whether the First Merger has been consummated, whether a Special Mandatory Redemption Trigger has occurred, or for monitoring the occurrence of either, and shall have no liability in connection therewith. The Trustee shall not be deemed to have any knowledge of the consummation of the First Merger, or the occurrence of a Special Mandatory Redemption Trigger, unless and until it has received written notice thereof from the Corporation in accordance with the terms of this Supplemental Indenture.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Upon the consummation of the First Merger, this Section 2.2(iii) will cease to apply. For purposes of the foregoing, the First Merger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deemed consummated if the closing of the First Merger as contemplated under the Merger Agreement occurs, including after giving effect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amendments, modifications or waivers to the Merger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Notwithstanding anything to the contrary herein or in the Base Indenture, the Corporation and its Affiliates may, at any time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purchase, repurchase, redeem, exchange, defease or otherwise acquire or retire the Corporation’s or any of its subsidiaries’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securities or loans, including the Notes, by any means other than a redemption that is subject to the provisions described herein (and, for the avoidance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doubt, without being subject to any pro rata repurchase requirement) from any Person, upon such terms and conditions, at such prices and with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considerations as the Corporation and its Affiliates may determine, including in negotiated transactions, open market purchases, by tender offer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transactions with one or more holders or beneficial owners of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2.3.          </w:t>
      </w:r>
      <w:r>
        <w:rPr>
          <w:rFonts w:ascii="Times New Roman" w:cs="Times New Roman" w:eastAsia="Times New Roman" w:hAnsi="Times New Roman"/>
          <w:sz w:val="18"/>
          <w:szCs w:val="18"/>
          <w:u w:val="single" w:color="auto"/>
          <w:color w:val="auto"/>
        </w:rPr>
        <w:t>  Forms Generally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(i)             The Notes shall be in substantially the forms set forth in Exhibits A1-A5 to this Supplemental Indenture (other than, (x) with respect to any additional Notes of any series of the Notes, changes related to issue date, issue price and first Interest Payment Date of such additional Notes and (y) with respect to any Exchange Notes of any series of the Notes, changes related to legends, transfer restrictions, CUSIP/ISIN numbers and other changes customary for registered notes), in each case with such appropriate insertions, omissions, substitutions and other variations as are required or permitted by the Indenture, and may have such letters, numbers or other marks of identification and such legends or endorsements placed thereon as may be required to comply with the rules of any securities exchange or as may, consistently herewith, be determined by the officers executing such Notes, as evidenced by their execution of the Notes. The Notes of each series and any additional Notes of such series subsequently issued under the Indenture, together with any Exchange Notes issued with respect to the Notes of such series in accordance with the Registration Rights Agreement, will be treated as a single series or class for all purposes under the Indenture, including, without limitation, waivers, amendments and redemptions; provided that, if any such additional Notes are not fungible with the existing Notes for Federal income tax purposes, such additional Notes will have a separate CUSIP number.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Any definitive Notes shall be printed, lithographed or engraved on steel engraved borders or may be produced in any other manner, all as determined by the officers executing such Notes, as evidenced by their execution of such Notes.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Global Notes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Initial Notes shall be offered and sold by the Corporation pursuant to the Purchase Agreement. The Notes shall be resold initially only (A) to Persons reasonably believed to be QIBs in reliance on Rule 144A or (B) outside the United States, to Persons other than “U.S. persons” as defined in Rule 902 under the Securities Act in compliance with Regulation S. Notes may thereafter be transferred to, among others, purchasers reasonably believed to be QIBs, and purchasers in reliance on Regulation S, subject to the restrictions on transfer set forth herein. Notes initially resold pursuant to Rule 144A shall be issued in the form of one or more permanent global securities in fully registered form (collectively, the “</w:t>
      </w:r>
      <w:r>
        <w:rPr>
          <w:rFonts w:ascii="Times New Roman" w:cs="Times New Roman" w:eastAsia="Times New Roman" w:hAnsi="Times New Roman"/>
          <w:sz w:val="18"/>
          <w:szCs w:val="18"/>
          <w:u w:val="single" w:color="auto"/>
          <w:color w:val="auto"/>
        </w:rPr>
        <w:t>Rule 144A Global Note</w:t>
      </w:r>
      <w:r>
        <w:rPr>
          <w:rFonts w:ascii="Times New Roman" w:cs="Times New Roman" w:eastAsia="Times New Roman" w:hAnsi="Times New Roman"/>
          <w:sz w:val="18"/>
          <w:szCs w:val="18"/>
          <w:color w:val="auto"/>
        </w:rPr>
        <w:t>”) and Notes initially resold pursuant to Regulation S shall be issued in the form of one or more permanent global securities in fully registered form (collectively, the “</w:t>
      </w:r>
      <w:r>
        <w:rPr>
          <w:rFonts w:ascii="Times New Roman" w:cs="Times New Roman" w:eastAsia="Times New Roman" w:hAnsi="Times New Roman"/>
          <w:sz w:val="18"/>
          <w:szCs w:val="18"/>
          <w:u w:val="single" w:color="auto"/>
          <w:color w:val="auto"/>
        </w:rPr>
        <w:t>Regulation S Global Note</w:t>
      </w:r>
      <w:r>
        <w:rPr>
          <w:rFonts w:ascii="Times New Roman" w:cs="Times New Roman" w:eastAsia="Times New Roman" w:hAnsi="Times New Roman"/>
          <w:sz w:val="18"/>
          <w:szCs w:val="18"/>
          <w:color w:val="auto"/>
        </w:rPr>
        <w:t>”), in each case without interest coupons and with the Global Notes Legend and the applicable Restricted Notes Legend set forth in Section 2.4(iv) hereof, which shall be deposited on behalf of the purchasers of the Notes represented thereby with the Trustee, as custodian for DTC and registered in the name of the Custodian or a nominee of DTC, duly executed by the Corporation and authenticated by the Trustee as provided in this Supplemental Indenture.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Transfers by an owner of a beneficial interest in a Regulation S Global Note to a transferee who takes delivery of such interest through a Rule 144A Global Note, whether before or after the expiration of the Restricted Period, shall be made only upon receipt by the Trustee of a certification substantially in the form set forth in Exhibit C hereto.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Transfers by an owner of a beneficial interest in a Rule 144A Global Note to a transferee who takes delivery of such interest through a Regulation S Global Note, whether before or after the expiration of the Restricted Period, shall be made only upon receipt by the Trustee of a certification substantially in the form set forth in Exhibit C hereto.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The Rule 144A Global Notes and the Regulation S Global Notes are collectively referred to herein as “</w:t>
      </w:r>
      <w:r>
        <w:rPr>
          <w:rFonts w:ascii="Times New Roman" w:cs="Times New Roman" w:eastAsia="Times New Roman" w:hAnsi="Times New Roman"/>
          <w:sz w:val="18"/>
          <w:szCs w:val="18"/>
          <w:u w:val="single" w:color="auto"/>
          <w:color w:val="auto"/>
        </w:rPr>
        <w:t>Global Notes</w:t>
      </w:r>
      <w:r>
        <w:rPr>
          <w:rFonts w:ascii="Times New Roman" w:cs="Times New Roman" w:eastAsia="Times New Roman" w:hAnsi="Times New Roman"/>
          <w:sz w:val="18"/>
          <w:szCs w:val="18"/>
          <w:color w:val="auto"/>
        </w:rPr>
        <w:t>,” each of which shall be a Global Security (as defined in the Indenture). The aggregate principal amount of the Global Notes may from time to time be increased or decreased by adjustments made on the records of the Trustee and DTC or its nominee as hereinafter provided.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2.4.          </w:t>
      </w:r>
      <w:r>
        <w:rPr>
          <w:rFonts w:ascii="Times New Roman" w:cs="Times New Roman" w:eastAsia="Times New Roman" w:hAnsi="Times New Roman"/>
          <w:sz w:val="18"/>
          <w:szCs w:val="18"/>
          <w:u w:val="single" w:color="auto"/>
          <w:color w:val="auto"/>
        </w:rPr>
        <w:t>  Special Transfer Provisions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Restrictions on Transfer of a Note in definitive form for a Beneficial Interest in a Global Note</w:t>
      </w:r>
      <w:r>
        <w:rPr>
          <w:rFonts w:ascii="Times New Roman" w:cs="Times New Roman" w:eastAsia="Times New Roman" w:hAnsi="Times New Roman"/>
          <w:sz w:val="18"/>
          <w:szCs w:val="18"/>
          <w:color w:val="auto"/>
        </w:rPr>
        <w:t>. A definitive Note may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exchanged for a beneficial interest in a Global Note except upon satisfaction of the requirements set forth below. Upon receipt by the Trustee of a definitive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duly endorsed or accompanied by a written instrument of transfer in form reasonably satisfactory to the Corporation and the Security Registrar,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 certification substantially in the form set forth in Exhibit C hereto;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written instructions directing the Trustee to make, or to direct the Custodian to make, an adjustment on its books and records with respect to such Global Note to reflect an increase in the aggregate principal amount of the Notes represented by the Global Note, such instructions to contain information regarding DTC account to be credited with such increase, then the Trustee shall cancel such definitive Note and cause, or direct the Custodian to cause, in accordance with the standing instructions and procedures existing between DTC and the Custodian, the aggregate principal amount of Notes represented by the Global Note to be increased by the aggregate principal amount of the definitive Note to be exchanged and shall credit or cause to be credited to the account of the Person specified in such instructions a beneficial interest in the Global Note equal to the principal amount of the definitive Note so canceled. If no Global Notes are then Outstanding and the Global Note has not been previously exchanged for certificated securities pursuant to Section 305 of the Indenture, the Corporation shall issue and the Trustee shall authenticate, upon receipt of a Company Order, a new Global Note in the appropriate principal amount.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Transfer and Exchange of Global Notes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The transfer and exchange of Global Notes or beneficial interests therein shall be effected through DTC, in accordance with the Indenture (including applicable restrictions on transfer set forth herein, if any) and the Applicable Procedures.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If the proposed transfer is a transfer of a beneficial interest in one Global Note to a beneficial interest in another Global Note, the Security Registrar shall reflect on its books and records the date and an increase in the principal amount of the Global Note to which such interest is being transferred in an amount equal to the principal amount of the interest to be so transferred, and the Security Registrar shall reflect on its books and records the date and a corresponding decrease in the principal amount of the Global Note from which such interest is being transferred.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In the event that a Global Note is exchanged for Notes in definitive form prior to the consummation of the Registered Exchange Offer or the effectiveness of the shelf registration statement with respect to such Notes, such Notes may be exchanged only in accordance with such procedures as are substantially consistent with the provisions of this section (including Exhibit C hereto) and such other procedures as may from time to time be adopted by the Corporation.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Additional Restrictions on Transfer of Regulation S Global Notes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(a)            Prior to the expiration of the Restricted Period, (A) interests in a Regulation S Global Note may only be held through Euroclear or Clearstream and (B) transfers of beneficial interests in a Regulation S Global Note may not be made to a U.S. person or for the account or benefit of a U.S. 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(b)            Upon the expiration of the Restricted Period, beneficial ownership interests in a Regulation S Global Note shall be transferable in accordance with applicable law and the other terms of the Indenture.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Legend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Except as permitted by the following paragraphs (b), (c), (d) or (e) each Note certificate evidencing the Global Notes and the definitive Notes (and all Notes issued in exchange therefor or in substitution thereof) shall bear a legend in substantially the following form (each defined term in the legend being defined as such for purposes of the legend only):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7"/>
          <w:szCs w:val="17"/>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PLEDGE OR OTHERWISE TRANSFER SUCH SECURITY, PRIOR TO THE DATE (THE “RESALE RESTRICTION TERMINATION DATE”) THAT IS [IN THE CASE OF RULE 144A NOTES: ONE YEAR AFTER THE LATER OF THE ISSUE DATE HEREOF OR ANY OTHER ISSUE DATE IN RESPECT OF A FURTHER ISSUANCE OF SECURITIES OF THE SAME SERIES AND THE LAST DATE ON WHICH KIMBERLY-CLARK CORPORATION OR ANY AFFILIATE OF KIMBERLY-CLARK CORPORATION WAS THE OWNER OF THIS SECURITY (OR ANY PREDECESSOR OF SUCH SECURITY), ONLY (A) TO KIMBERLY-CLARK CORPORATION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 (E) TO AN INSTITUTIONAL “ACCREDITED INVESTOR” WITHIN THE MEANING OF RULE 501(A)</w:t>
      </w:r>
    </w:p>
    <w:p>
      <w:pPr>
        <w:spacing w:after="0" w:line="203"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7"/>
          <w:szCs w:val="17"/>
          <w:color w:val="auto"/>
        </w:rPr>
        <w:t>(1),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[IN THE CASE OF REGULATION S NOTES: 40 DAYS AFTER THE LATER OF THE ISSUE DATE HEREOF OR ANY OTHER ISSUE DATE IN RESPECT OF A FURTHER ISSUANCE OF SECURITIES OF THE SAME SERIES AND THE DATE ON WHICH THIS SECURITY (OR ANY PREDECESSOR OF SUCH SECURITY) WAS FIRST OFFERED TO PERSONS OTHER THAN DISTRIBUTORS (AS DEFINED IN RULE 902 OF REGULATION S) IN RELIANCE ON REGULATION S, ONLY (A) TO KIMBERLY-CLARK CORPORATION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 (E) 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PROVIDED THAT PRIOR TO THE RESALE RESTRICTION TERMINATION DATE, THE HOLDER AGREES ON ITS OWN BEHALF AND ON BEHALF OF ANY INVESTOR ACCOUNT FOR WHICH IT HAS PURCHASED SECURITIES, TO NOT OFFER, SELL, PLEDGE OR OTHERWISE TRANSFER SUCH SECURITY TO A U.S. PERSON OR FOR THE ACCOUNT OR BENEFIT OF A U.S. PERSON.]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220"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BY ITS ACQUISITION HEREOF, THE HOLDER HEREOF AGREES THAT (A) IT IS NOT, AND WILL NOT BECOME (I) AN “EMPLOYEE BENEFIT PLAN” (AS DEFINED IN SECTION 3(3)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xml:space="preserve">”)) THAT IS SUBJECT TO TITLE I OF ERISA, (II) A PLAN DESCRIBED IN SECTION 4975(E)(1) OF THE INTERNAL REVENUE CODE OF 1986, </w:t>
      </w:r>
      <w:r>
        <w:rPr>
          <w:rFonts w:ascii="Times New Roman" w:cs="Times New Roman" w:eastAsia="Times New Roman" w:hAnsi="Times New Roman"/>
          <w:sz w:val="18"/>
          <w:szCs w:val="18"/>
          <w:u w:val="single" w:color="auto"/>
          <w:color w:val="auto"/>
        </w:rPr>
        <w:t>AS AMENDED (THE “CODE</w:t>
      </w:r>
      <w:r>
        <w:rPr>
          <w:rFonts w:ascii="Times New Roman" w:cs="Times New Roman" w:eastAsia="Times New Roman" w:hAnsi="Times New Roman"/>
          <w:sz w:val="18"/>
          <w:szCs w:val="18"/>
          <w:color w:val="auto"/>
        </w:rPr>
        <w:t xml:space="preserve">”), THAT IS SUBJECT TO SECTION 4975 OF THE CODE, (III) A PLAN, INDIVIDUAL RETIREMENT ACCOUNT OR OTHER ARRANGEMENT THAT IS SUBJECT TO THE PROVISIONS OF ANY FEDERAL, STATE, LOCAL, NON-U.S. OR OTHER LAWS, RULES OR REGULATIONS THAT ARE SIMILAR TO SUCH PROVISIONS OF ERISA OR THE CODE (SUCH LAWS, COLLECTIVELY, </w:t>
      </w:r>
      <w:r>
        <w:rPr>
          <w:rFonts w:ascii="Times New Roman" w:cs="Times New Roman" w:eastAsia="Times New Roman" w:hAnsi="Times New Roman"/>
          <w:sz w:val="18"/>
          <w:szCs w:val="18"/>
          <w:u w:val="single" w:color="auto"/>
          <w:color w:val="auto"/>
        </w:rPr>
        <w:t>“SIMILAR LAWS</w:t>
      </w:r>
      <w:r>
        <w:rPr>
          <w:rFonts w:ascii="Times New Roman" w:cs="Times New Roman" w:eastAsia="Times New Roman" w:hAnsi="Times New Roman"/>
          <w:sz w:val="18"/>
          <w:szCs w:val="18"/>
          <w:color w:val="auto"/>
        </w:rPr>
        <w:t>”) OR (IV) AN ENTITY OR ACCOUNT WHOSE UNDERLYING ASSETS ARE CONSIDERED TO INCLUDE THE ASSETS OF ANY SUCH PLAN OR ARRANGEMENT DESCRIBED IN (I), (II) OR (III) AND (B) ITS PURCHASE AND HOLDING OF THIS SECURITY, OR INTEREST THEREIN, WILL NOT CONSTITUTE OR RESULT IN A NON-EXEMPT PROHIBITED TRANSACTION UNDER SECTION 406 OF ERISA AND/OR SECTION 4975 OF THE CODE OR A VIOLATION OF ANY SIMILAR LAWS.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Note evidencing a Global Note offered and sold to non-U.S. persons outside the United States in reliance on Regulation S shall bear a legend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in the following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Global Note shall bear a legend substantially in the following form (collectively, the “Global Notes Legend”):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UNLESS THIS SECURITY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IS MADE TO CEDE &amp; CO. OR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Note in definitive form shall bear the following additional legend: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Upon any sale or transfer of a Transfer Restricted Note that is a definitive Note, the Security Registrar shall permit the Holder thereof to exchange such Transfer Restricted Note for a definitive Note that does not bear the legends set forth above and rescind any restriction on the transfer of such Transfer Restricted Note if the Holder delivers to the Corporation and the Security Registrar a written certification substantially in the form set forth in Exhibit C hereto; provided, that such Holder must, at the request of the Corporation, deliver an opinion of counsel reasonably acceptable to the Corporation.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After a transfer of any Initial Notes during the period of the effectiveness of a shelf registration statement with respect to such Initial Notes, as the case may be, all requirements pertaining to the Restricted Notes Legend on such Initial Notes shall cease to apply and the requirements that any such Initial Notes be issued in global form shall continue to apply.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Upon the consummation of a Registered Exchange Offer with respect to the Initial Notes pursuant to which Holders of such Initial Notes are offered Exchange Notes in exchange for their Initial Notes, all requirements pertaining to Initial Notes that Initial Notes be issued in global form shall continue to apply, and Exchange Notes in global form without the Restricted Notes Legend shall be available to Holders that exchange such Initial Notes in such Registered Exchange Offer.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Upon a sale or transfer after the expiration of the Restricted Period of any Initial Note, all requirements that such Initial Note bear the Restricted Notes Legend shall cease to apply and the requirements requiring any such Initial Note be issued in global form shall continue to apply.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(v)            By its acceptance of any Note bearing any legend in Section 2.4(iv) hereof, each Holder of such Note acknowledges the restrictions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transfer of such Note set forth in this Supplemental Indenture and in such legend in Section 2.4(iv) hereof and agrees that it shall transfer such Note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provided in this Supplemental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(vi)            The Corporation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the Trustee reserve the right to require in connection with any offer, sale or other transfer of Notes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clauses (D), (E) and (F) of the legend set forth in Section 2.4(iv)(a) hereof the delivery of an opinion of counsel, certifications and/or other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satisfactory to the Corporation and the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2.5.          </w:t>
      </w:r>
      <w:r>
        <w:rPr>
          <w:rFonts w:ascii="Times New Roman" w:cs="Times New Roman" w:eastAsia="Times New Roman" w:hAnsi="Times New Roman"/>
          <w:sz w:val="18"/>
          <w:szCs w:val="18"/>
          <w:u w:val="single" w:color="auto"/>
          <w:color w:val="auto"/>
        </w:rPr>
        <w:t>  Definitive Notes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            Any definitive Note delivered in exchange for an interest in a Global Note pursuant to Section 305 of the Indenture shall, except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provided by Section 2.4(iv) hereof, bear the Restricted Notes Legend (if then required) and the additional legend for Notes in definitive form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in Section 2.4(iv)(a) hereof, and shall not bear the Global Notes Legend.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(ii)            Notwithstanding anything to the contrary in the Indenture, in no event shall a definitive Note be delivered upon exchange or transfer of a beneficial interest in the Regulation S Global Note prior to the end of the Restricted Period.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          </w:t>
      </w:r>
      <w:r>
        <w:rPr>
          <w:rFonts w:ascii="Times New Roman" w:cs="Times New Roman" w:eastAsia="Times New Roman" w:hAnsi="Times New Roman"/>
          <w:sz w:val="18"/>
          <w:szCs w:val="18"/>
          <w:u w:val="single" w:color="auto"/>
          <w:color w:val="auto"/>
        </w:rPr>
        <w:t>  Kenvue Guarantees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(i)             If (a) the Exchange Offers are withdrawn (but the First Merger has been consummated and the Notes are issued and Outstanding), or (b) if the First Merger is consummated, the Notes are issued and Outstanding and the Exchange Offers are not completed within four (4) Business Days after the Expiration Date, the Corporation shall cause Kenvue to execute and deliver to the Trustee a supplemental indenture provided for by Section 3.1(ii) hereof, whereby Kenvue, as primary obligor and not merely as surety, will irrevocably and fully and unconditionally guarantee to each Holder of the Notes and to the Trustee and its successors and assigns on an unsecured, unsubordinated basis and equal in right of payment to all existing and future unsecured, unsubordinated indebtedness of Kenvue, the punctual payment when due of all monetary obligations of the Corporation under the Indenture (with respect to the Notes) and the Notes, whether for principal of or interest on the Notes (the “</w:t>
      </w:r>
      <w:r>
        <w:rPr>
          <w:rFonts w:ascii="Times New Roman" w:cs="Times New Roman" w:eastAsia="Times New Roman" w:hAnsi="Times New Roman"/>
          <w:sz w:val="18"/>
          <w:szCs w:val="18"/>
          <w:u w:val="single" w:color="auto"/>
          <w:color w:val="auto"/>
        </w:rPr>
        <w:t>Kenvue Guarantees</w:t>
      </w:r>
      <w:r>
        <w:rPr>
          <w:rFonts w:ascii="Times New Roman" w:cs="Times New Roman" w:eastAsia="Times New Roman" w:hAnsi="Times New Roman"/>
          <w:sz w:val="18"/>
          <w:szCs w:val="18"/>
          <w:color w:val="auto"/>
        </w:rPr>
        <w:t>”). The Corporation shall publicly announce the withdrawal or other termination of the Exchange Offers, if applicable. The Trustee shall have no obligation to determine or monitor whether the conditions set forth in clause (a) and/or (b) above have been satisfied, and shall have no liability in connection with any such determination or monitoring and shall not be deemed to have knowledge that any such conditions requiring the provision of Kenvue Guarantees have been satisfied unless and until it has received written notice thereof from the Corporation in accordance with the Indenture.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(ii)          </w:t>
      </w:r>
      <w:r>
        <w:rPr>
          <w:rFonts w:ascii="Times New Roman" w:cs="Times New Roman" w:eastAsia="Times New Roman" w:hAnsi="Times New Roman"/>
          <w:sz w:val="17"/>
          <w:szCs w:val="17"/>
          <w:u w:val="single" w:color="auto"/>
          <w:color w:val="auto"/>
        </w:rPr>
        <w:t>  Execution and Delivery of Kenvue Guarantee</w:t>
      </w:r>
      <w:r>
        <w:rPr>
          <w:rFonts w:ascii="Times New Roman" w:cs="Times New Roman" w:eastAsia="Times New Roman" w:hAnsi="Times New Roman"/>
          <w:sz w:val="17"/>
          <w:szCs w:val="17"/>
          <w:color w:val="auto"/>
        </w:rPr>
        <w:t xml:space="preserve">. Pursuant to </w:t>
      </w:r>
      <w:r>
        <w:rPr>
          <w:rFonts w:ascii="Times New Roman" w:cs="Times New Roman" w:eastAsia="Times New Roman" w:hAnsi="Times New Roman"/>
          <w:sz w:val="17"/>
          <w:szCs w:val="17"/>
          <w:u w:val="single" w:color="auto"/>
          <w:color w:val="auto"/>
        </w:rPr>
        <w:t>Section 3.1(i) </w:t>
      </w:r>
      <w:r>
        <w:rPr>
          <w:rFonts w:ascii="Times New Roman" w:cs="Times New Roman" w:eastAsia="Times New Roman" w:hAnsi="Times New Roman"/>
          <w:sz w:val="17"/>
          <w:szCs w:val="17"/>
          <w:color w:val="auto"/>
        </w:rPr>
        <w:t>hereof, the Corporation shall cause Kenvue to execute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 to the Trustee a supplemental indenture substantially in the form set forth in Exhibit B hereto, or otherwise in form reasonably satisfactory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evidencing its Kenvue Guarantees on substantially the terms set forth in this section. Upon the request of the Corporation and upon delivery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of an Officers’ Certificate and an Opinion of Counsel, each stating that all conditions precedent under the Indenture relating to the execution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of such supplemental indenture have been complied with, together with the Opinion of Counsel required by Section 903 of the Indenture,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shall execute and deliver such supplemental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          </w:t>
      </w:r>
      <w:r>
        <w:rPr>
          <w:rFonts w:ascii="Times New Roman" w:cs="Times New Roman" w:eastAsia="Times New Roman" w:hAnsi="Times New Roman"/>
          <w:sz w:val="18"/>
          <w:szCs w:val="18"/>
          <w:u w:val="single" w:color="auto"/>
          <w:color w:val="auto"/>
        </w:rPr>
        <w:t>  Amendments to the Base Indenture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Section 101 of the Indenture is hereby amended by adding the following definitions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means the Guarantor’s unconditional guarantee to each Holder of a series of Securities and to the Trustee and its successors and assigns on an unsubordinated unsecured basis of the punctual payment when due of all monetary obligations of the Company under the Indenture and such series of Securities, whether for principal of or interest on such series of Securities, if any.  </w:t>
      </w:r>
    </w:p>
    <w:p>
      <w:pPr>
        <w:spacing w:after="0" w:line="204"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Kenvue (as defined in the Eleventh Supplemental Indenture) from and after the date, if any, that it executes a supplemental indenture pursuant to Section 3.1 of the Eleventh Supplemental Indenture until the date that such entity is released from its Guarantees.  </w:t>
      </w:r>
    </w:p>
    <w:p>
      <w:pPr>
        <w:spacing w:after="0" w:line="20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(ii)            Solely as it relates to the Notes, Section 402 of the Indenture shall be amended by (a) adding “and” at the end of subsection (5) thereof; (b) removing subsection (6) thereof; (c) renumbering subsection (7) thereof as subsection (6); and (d) replacing each reference to “Section 501(5) or Section 501(6)” in subsection (3) thereof with “Section 501(6) or Section 501(7)”.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Solely as it relates to the Notes, Section 501 of the Indenture shall be amended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adding a new subsection (4) after the existing subsection (3) that states the following: “default in the performance in any material respect of any obligations in Section 2.2(iii) of that certain Eleventh Supplemental Indenture, dated as of October 29, 2026 (the “Eleventh Supplemental Indenture”), between the Company and the Trustee;”;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deleting the “; or” at the end of subsection (6)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adding a new subsection (8) after the existing subsection (6) that states the following: “any Guarantee with respect to a series of Securities is not issued as required under Section 3.1 of the Eleventh Supplemental Indenture, or ceases to be in full force and effect (except as contemplated by the terms thereof) or the applicable Guarantor asserts in writing that its obligations under its Guarantee with respect to such series of Securities have ceased to be or otherwise is not in full force and effect (except as contemplated by the terms thereof), and the Guarantee has not been issued or returned to full force and effect within, or such assertion has not been rescinded, by the date that is 90 days after there has been given, by registered or certified mail, to the Company by the Trustee or to the Company and the Trustee by the Holders of at least 25% in principal amount of the Outstanding Securities of that series a written notice specifying such default and requiring it to be remedied and stating that such notice is a “Notice of Default” hereunder; or”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renumbering subsection (4), (5), (6) and (7) thereof as subsection (5), (6), (7) and (9),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Solely as it relates to the Notes, Section 602 of the Indenture shall be amended by replacing the reference to “Section 501(4)”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with “Section 501(5)”.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Solely as it relates to the Notes, Section 902 of the Indenture shall be amended by replacing any references to “663 2/3%” or “66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thereof with “a majority”.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          Solely as it relates to the Notes, Section 1004 of the Indenture shall be amended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deleting the “and” at the end of subsection (a)(6) thereof and adding the below subsections after subsection (a)(6)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hanging="659"/>
        <w:spacing w:after="0" w:line="250" w:lineRule="auto"/>
        <w:tabs>
          <w:tab w:leader="none" w:pos="194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mortgages imposed by law, such as mechanics’, workmen’s, repairmen’s, materialmen’s, carriers’, warehousemen’s, vendors’, construction or other similar mortgages arising in the ordinary course of business, or governmental (federal, state or municipal) mortgages arising out of contracts for the sale of products or services by the Company or any Restricted Subsidiary, or deposits or pledges to obtain the release of any of the foregoing;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line="250" w:lineRule="auto"/>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arising out of receipt of customer deposits or advance payments from customers, or deposits required by suppliers, in each case in the ordinary course of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hanging="656"/>
        <w:spacing w:after="0" w:line="250" w:lineRule="auto"/>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specific items of inventory or other goods and the proceeds thereof securing obligations of the Company or any Restricted Subsidiary in respect of documentary letters of credit or banker’s acceptances issued or created for the account of the Company or Restricted Subsidiary, as applicable, to facilitate the purchase, shipment or storage of such inventory or goods, in each case in the ordinary course of business;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hanging="656"/>
        <w:spacing w:after="0" w:line="250" w:lineRule="auto"/>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under workmen’s compensation, unemployment insurance, or similar legislation and mortgages of judgments thereunder which are not currently dischargeable, or good faith deposits in connection with bids, tenders, contracts (other than for the payment of money) or leases to which the Company or any Restricted Subsidiary is a party, or deposits to secure public or statutory obligations of the Company or any Restricted Subsidiary, or deposits in connection with obtaining or maintaining self-insurance or to obtain the benefits of any law, regulation or arrangement pertaining to workmen’s compensation, unemployment insurance, old age pensions, social security or similar matters, or deposits in litigation or other proceedings such as, but not limited to, interpleader proceedings;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960" w:hanging="656"/>
        <w:spacing w:after="0" w:line="250" w:lineRule="auto"/>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of cash or obligations of the United States of America to secure surety, appeal or customs bonds to which the Company or any Restricted Subsidiary is a party or any other mortgages in favor of customs and revenue authorities arising as a matter of law to secure payment of customs duties in connection with the importation and exportation of goods, in each case in the ordinary course of business;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hanging="656"/>
        <w:spacing w:after="0" w:line="250" w:lineRule="auto"/>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created by or resulting from any litigation or other proceeding which is being contested in good faith by appropriate proceedings, including mortgages arising out of judgments or awards against the Company or any Restricted Subsidiary with respect to which the Company or such Restricted Subsidiary is in good faith prosecuting an appeal or proceedings for review (or for which the time to make an appeal has not yet expired) or mortgages incurred by the Company or any Restricted Subsidiary for the purpose of obtaining a stay or discharge in the course of any litigation or other proceeding to which the Company or such Restricted Subsidiary is a party;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line="250" w:lineRule="auto"/>
        <w:tabs>
          <w:tab w:leader="none" w:pos="1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for taxes or assessments or governmental charges or levies not yet due or delinquent, or which can thereafter be paid without penalty, or which are being contested in good faith by appropriate proceedings;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hanging="656"/>
        <w:spacing w:after="0" w:line="250" w:lineRule="auto"/>
        <w:tabs>
          <w:tab w:leader="none" w:pos="1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consisting of easements, rights-of-way, permits, servitudes, zoning restrictions, restrictions on the use of real property, and defects and irregularities in the title thereto, landlords’ liens and other similar liens and encumbrances none of which interfere materially with the use of the property covered thereby in the ordinary course of the business of the Company or such Restricted Subsidiary and which do not, in the opinion of the Company, materially detract from the value of such properties;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mortgages existing on the date on which the Notes are originally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mortgages on cash and cash equivalents securing derivatives obligations or deposited as cash collateral on letters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hanging="656"/>
        <w:spacing w:after="0" w:line="250" w:lineRule="auto"/>
        <w:tabs>
          <w:tab w:leader="none" w:pos="1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arising solely by virtue of any statutory or common law provision relating to banker’s liens, rights of setoff or similar rights and remedies as to deposit accounts or other funds maintained with a creditor depository institution; provided that (A) such deposit account is not a dedicated cash collateral account and is not subject to restrictions against access by the Company in excess of those required by applicable banking regulations or as otherwise set forth by regulations promulgated by the Federal Reserve Board, and (B) such deposit account is not intended to provide collateral to the depository institution;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960" w:hanging="656"/>
        <w:spacing w:after="0" w:line="250" w:lineRule="auto"/>
        <w:tabs>
          <w:tab w:leader="none" w:pos="1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licenses, subleases or sublicenses of assets (including with respect to real property and intellectual property rights) granted to others that do not in the aggregate materially interfere with the ordinary conduct of the business of the Company and its subsidiaries taken as a whole;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(b)            renumbering subsection (a)(7) to subsection (a)(19) and replacing the reference to “Clauses (1) through (6)” thereof with “Clauses (1) through (18)”;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replacing “does not at the time exceed 5% of Consolidated Net Tangible Assets” in subsection (b) with “does not at the time exceed the greater of (i) $2.0 billion and (ii) 15% of Consolidated Net Tangible Assets” and replacing the reference to “Clauses (1) through (7)” thereof with “Clauses (1) through (19).”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          Solely as it relates to the Notes, Section 1005 of the Indenture shall be amended by replacing the reference to “(1) or (6)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1004(a)” thereof with “(1) to (19) of Section 1004(a).”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(viii)         Solely as it relates to the Notes, Section 1006 of the Indenture shall be amended by (a) adding “and” at the end of subsection (6) thereof; (b) removing subsection (7) thereof; (c) renumbering subsection (8) thereof as (7); (d) replacing each reference to “Section 501(5) or Section 501(6)” in subsection (4) thereof with “Section 501(6) or Section 501(7)”; and (e) replacing any references to “Sections 1004 and 1005” thereof with “Sections 501(8), 1004 and 1005 and Article Eight of this Indenture and Section 3.1 of the Eleventh Supplemental Indenture.”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(ix)           Solely as it relates to the Notes, Section 1008 of the Indenture shall be amended by replacing any references to “66 2/3%” thereof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majority”.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(x)            Notwithstanding the address specified in Section 8(b) of the Eighth Supplemental Indenture, with respect to the Future Notes the term “Corporate Trust Office” as used in the Indenture in respect of U.S. Bank shall mean the following office of U.S. Bank: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U.S. Bank Global Corporate Trust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333 Thornall St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Edison, NJ 08837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or such other address as the Trustee may designate from time to time by written notice to the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          </w:t>
      </w:r>
      <w:r>
        <w:rPr>
          <w:rFonts w:ascii="Times New Roman" w:cs="Times New Roman" w:eastAsia="Times New Roman" w:hAnsi="Times New Roman"/>
          <w:sz w:val="18"/>
          <w:szCs w:val="18"/>
          <w:u w:val="single" w:color="auto"/>
          <w:color w:val="auto"/>
        </w:rPr>
        <w:t>  Miscellaneous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Relation to the Indenture</w:t>
      </w:r>
      <w:r>
        <w:rPr>
          <w:rFonts w:ascii="Times New Roman" w:cs="Times New Roman" w:eastAsia="Times New Roman" w:hAnsi="Times New Roman"/>
          <w:sz w:val="18"/>
          <w:szCs w:val="18"/>
          <w:color w:val="auto"/>
        </w:rPr>
        <w:t>. This Supplemental Indenture constitutes an integral part of the Indenture, and shall be construed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and as part of the Indenture. If any provision of this Supplemental Indenture conflicts with any provision of the Indenture, the provisions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Supplemental Indenture shall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Definitions in the Supplemental Indenture</w:t>
      </w:r>
      <w:r>
        <w:rPr>
          <w:rFonts w:ascii="Times New Roman" w:cs="Times New Roman" w:eastAsia="Times New Roman" w:hAnsi="Times New Roman"/>
          <w:sz w:val="18"/>
          <w:szCs w:val="18"/>
          <w:color w:val="auto"/>
        </w:rPr>
        <w:t>. For all purposes of this Supplemental Indenture, capitalized terms used herein without definition shall have the meanings specified in the Indenture. If any term is defined in this Supplemental Indenture and in the Indenture, such term as it relates to the Notes shall have the meaning assigned to it in this Supplemental Indenture. All terms defined in the Notes have the meanings set forth therein.  </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Recitals</w:t>
      </w:r>
      <w:r>
        <w:rPr>
          <w:rFonts w:ascii="Times New Roman" w:cs="Times New Roman" w:eastAsia="Times New Roman" w:hAnsi="Times New Roman"/>
          <w:sz w:val="18"/>
          <w:szCs w:val="18"/>
          <w:color w:val="auto"/>
        </w:rPr>
        <w:t>. The recitals and statements herein and in the Notes shall be taken as recitals and statements of the Corporation and shall not be construed as made by the Trustee or any paying agent, and neither the Trustee nor any paying agent assumes any responsibility for their correctness. Neither the Trustee nor any paying agent makes any representations as to the validity or sufficiency of this Supplemental Indenture or of the Notes.  </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(iv)         </w:t>
      </w:r>
      <w:r>
        <w:rPr>
          <w:rFonts w:ascii="Times New Roman" w:cs="Times New Roman" w:eastAsia="Times New Roman" w:hAnsi="Times New Roman"/>
          <w:sz w:val="17"/>
          <w:szCs w:val="17"/>
          <w:u w:val="single" w:color="auto"/>
          <w:color w:val="auto"/>
        </w:rPr>
        <w:t>  Governing Law</w:t>
      </w:r>
      <w:r>
        <w:rPr>
          <w:rFonts w:ascii="Times New Roman" w:cs="Times New Roman" w:eastAsia="Times New Roman" w:hAnsi="Times New Roman"/>
          <w:sz w:val="17"/>
          <w:szCs w:val="17"/>
          <w:color w:val="auto"/>
        </w:rPr>
        <w:t>. THIS SUPPLEMENTAL INDENTURE AND THE NOTES SHALL BE GOVERNED BY AND CONSTRUED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LAWS OF THE STATE OF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(v)          </w:t>
      </w:r>
      <w:r>
        <w:rPr>
          <w:rFonts w:ascii="Times New Roman" w:cs="Times New Roman" w:eastAsia="Times New Roman" w:hAnsi="Times New Roman"/>
          <w:sz w:val="17"/>
          <w:szCs w:val="17"/>
          <w:u w:val="single" w:color="auto"/>
          <w:color w:val="auto"/>
        </w:rPr>
        <w:t>  Separability Clause</w:t>
      </w:r>
      <w:r>
        <w:rPr>
          <w:rFonts w:ascii="Times New Roman" w:cs="Times New Roman" w:eastAsia="Times New Roman" w:hAnsi="Times New Roman"/>
          <w:sz w:val="17"/>
          <w:szCs w:val="17"/>
          <w:color w:val="auto"/>
        </w:rPr>
        <w:t>. In case any one or more of the provisions contained in this Supplemental Indenture or in the Notes should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invalid, illegal, or unenforceable in any respect, the validity, legality and enforceability of the remaining provisions contained herein and therein shall not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way be affected, impaired, prejudiced or disturbed thereby.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(vi)         </w:t>
      </w:r>
      <w:r>
        <w:rPr>
          <w:rFonts w:ascii="Times New Roman" w:cs="Times New Roman" w:eastAsia="Times New Roman" w:hAnsi="Times New Roman"/>
          <w:sz w:val="17"/>
          <w:szCs w:val="17"/>
          <w:u w:val="single" w:color="auto"/>
          <w:color w:val="auto"/>
        </w:rPr>
        <w:t>  Successors and Assigns</w:t>
      </w:r>
      <w:r>
        <w:rPr>
          <w:rFonts w:ascii="Times New Roman" w:cs="Times New Roman" w:eastAsia="Times New Roman" w:hAnsi="Times New Roman"/>
          <w:sz w:val="17"/>
          <w:szCs w:val="17"/>
          <w:color w:val="auto"/>
        </w:rPr>
        <w:t>. All covenants and agreements in this Supplemental Indenture by the Corporation shall bind its successors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assigns, whether so expressed or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Supplemental Indenture may be simultaneously executed in several counterparts, and all such counterparts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and delivered, each as an original, shall constitute but one and the same instrument. The exchange of copies of this Supplemental Indenture and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pages that are executed by manual signatures that are scanned, photocopied or faxed or by other electronic signing created on an electronic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platform (such as DocuSign) or by digital signing (such as Adobe Sign), in each case that is approved by the Trustee, shall constitute effective execution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delivery of this Supplemental Indenture for all purposes. Signatures of the parties hereto that are executed by manual signatures that are scanned,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photocopied or faxed or by other electronic signing created on an electronic platform (such as DocuSign) or by digital signing (such as Adobe Sign),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case that is approved by the Trustee, shall be deemed to be their original signatures for all purposes of this Supplemental Indenture as to the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 and may be used in lieu of the original.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(viii)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Article and Section headings herein are for convenience of reference only and shall not affect the construction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provisions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(ix)          </w:t>
      </w:r>
      <w:r>
        <w:rPr>
          <w:rFonts w:ascii="Times New Roman" w:cs="Times New Roman" w:eastAsia="Times New Roman" w:hAnsi="Times New Roman"/>
          <w:sz w:val="17"/>
          <w:szCs w:val="17"/>
          <w:u w:val="single" w:color="auto"/>
          <w:color w:val="auto"/>
        </w:rPr>
        <w:t>  Benefits of Eleventh Supplemental Indenture</w:t>
      </w:r>
      <w:r>
        <w:rPr>
          <w:rFonts w:ascii="Times New Roman" w:cs="Times New Roman" w:eastAsia="Times New Roman" w:hAnsi="Times New Roman"/>
          <w:sz w:val="17"/>
          <w:szCs w:val="17"/>
          <w:color w:val="auto"/>
        </w:rPr>
        <w:t>. Nothing in this Supplemental Indenture or in the Notes, expressed or implied, shall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 to any Person, other than the parties hereto, the Paying Agent and their respective successors and the Holders, any benefit or any legal or equitable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remedy or claim under this Supplemental Indenture. Nothing in this Supplemental Indenture shall apply to or amend or supplement any other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Securities issued or issuable under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Trust Indenture Act</w:t>
      </w:r>
      <w:r>
        <w:rPr>
          <w:rFonts w:ascii="Times New Roman" w:cs="Times New Roman" w:eastAsia="Times New Roman" w:hAnsi="Times New Roman"/>
          <w:sz w:val="18"/>
          <w:szCs w:val="18"/>
          <w:color w:val="auto"/>
        </w:rPr>
        <w:t>. If any provision in this Supplemental Indenture limits, qualifies or conflicts with a provision of the Trust Indenture Act which is required to be included herein by any provision of the Trust Indenture Act, such required provision shall prevail.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Intentionally Blank</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we have hereunto signed our names as of the 29th day of October 2026.</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vMerge w:val="continue"/>
          </w:tcPr>
          <w:p>
            <w:pPr>
              <w:spacing w:after="0"/>
              <w:rPr>
                <w:sz w:val="17"/>
                <w:szCs w:val="17"/>
                <w:color w:val="auto"/>
              </w:rPr>
            </w:pPr>
          </w:p>
        </w:tc>
        <w:tc>
          <w:tcPr>
            <w:tcW w:w="584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KIMBERLY-CLARK CORPORATION</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Flavio Costa</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Flavio Costa</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Suzana Blades</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Suzana Blades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General Counsel</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U.S. BANK TRUST COMPANY, NATIONAL ASSOCIATION,</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as Trustee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Christina Bruno</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Christina Bruno</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ind w:right="4019"/>
        <w:spacing w:after="0"/>
        <w:rPr>
          <w:sz w:val="20"/>
          <w:szCs w:val="20"/>
          <w:color w:val="auto"/>
        </w:rPr>
      </w:pPr>
      <w:r>
        <w:rPr>
          <w:rFonts w:ascii="Times New Roman" w:cs="Times New Roman" w:eastAsia="Times New Roman" w:hAnsi="Times New Roman"/>
          <w:sz w:val="18"/>
          <w:szCs w:val="18"/>
          <w:b w:val="1"/>
          <w:bCs w:val="1"/>
          <w:color w:val="auto"/>
        </w:rPr>
        <w:t>EXHIBIT A1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A DEPOSITORY OR A NOMINEE OF A DEPOSITORY, WHICH MAY BE TREATED BY THE COMPANY, THE TRUSTEE AND ANY AGENT THEREOF AS OWNER AND HOLDER OF THIS SECURITY FOR ALL PURPOSES. THIS GLOBAL SECURITY IS EXCHANGEABLE FOR SECURITIES REGISTERED IN THE NAME OF A PERSON OTHER THAN THE DEPOSITORY OR ITS NOMINEE ONLY IN THE LIMITED CIRCUMSTANCES HEREINAFTER DESCRIBED AND MAY NOT BE TRANSFERRED EXCEPT AS A WHOLE BY THE DEPOSITORY TO A NOMINEE OF THE DEPOSITORY OR BY A NOMINEE OF THE DEPOSITORY TO THE DEPOSITORY.</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THIS SECURITY IS PRESENTED BY AN AUTHORIZED REPRESENTATIVE OF THE DEPOSITORY TRUST COMPANY, A NEW YORK CORPORATION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4" w:name="page75"/>
    <w:bookmarkEnd w:id="74"/>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PLEDGE OR OTHERWISE TRANSFER SUCH SECURITY, PRIOR TO THE DATE (THE “RESALE RESTRICTION TERMINATION DATE”) THAT IS [IN THE CASE OF RULE 144A GLOBAL NOTES: ONE YEAR AFTER THE LATER OF THE ISSUE DATE HEREOF OR ANY OTHER ISSUE DATE IN RESPECT OF A FURTHER ISSUANCE OF SECURITIES OF THE SAME SERIES AND THE LAST DATE ON WHICH KIMBERLY-CLARK CORPORATION OR ANY AFFILIATE OF KIMBERLY-CLARK CORPORATION WAS THE OWNER OF THIS SECURITY (OR ANY PREDECESSOR OF SUCH SECURITY), ONLY (A) TO KIMBERLY-CLARK CORPORATION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w:t>
      </w:r>
    </w:p>
    <w:p>
      <w:pPr>
        <w:spacing w:after="0" w:line="198" w:lineRule="exact"/>
        <w:rPr>
          <w:sz w:val="20"/>
          <w:szCs w:val="20"/>
          <w:color w:val="auto"/>
        </w:rPr>
      </w:pPr>
    </w:p>
    <w:p>
      <w:pPr>
        <w:jc w:val="both"/>
        <w:ind w:firstLine="8"/>
        <w:spacing w:after="0" w:line="250" w:lineRule="auto"/>
        <w:tabs>
          <w:tab w:leader="none" w:pos="33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[IN THE CASE OF REGULATION S NOTES: 40 DAYS AFTER THE LATER OF THE ISSUE DATE HEREOF OR ANY OTHER ISSUE DATE IN RESPECT OF A FURTHER ISSUANCE OF SECURITIES OF THE SAME SERIES AND THE DATE ON WHICH THIS SECURITY (OR ANY PREDECESSOR OF SUCH SECURITY) WAS FIRST OFFERED TO PERSONS OTHER THAN DISTRIBUTORS (AS DEFINED IN RULE 902 OF REGULATION S) IN RELIANCE ON REGULATION S, ONLY (A) TO KIMBERLY-CLARK CORPORATION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 (E) 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PROVIDED THAT PRIOR TO THE RESALE RESTRICTION TERMINATION DATE, THE HOLDER AGREES ON ITS OWN BEHALF AND ON BEHALF OF ANY INVESTOR ACCOUNT FOR WHICH IT HAS PURCHASED SECURITIES, TO NOT OFFER, SELL, PLEDGE OR OTHERWISE TRANSFER SUCH SECURITY TO A U.S. PERSON OR FOR THE ACCOUNT OR BENEFIT OF A U.S. PERSON.]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BY ITS ACQUISITION HEREOF, THE HOLDER HEREOF AGREES THAT (A) IT IS NOT, AND WILL NOT BECOME (I) AN “EMPLOYEE BENEFIT PLAN” (AS DEFINED IN SECTION 3(3) OF THE EMPLOYEE RETIREMENT INCOME SECURITY ACT OF 1974, AS AMENDED (“ERISA”)) THAT IS SUBJECT TO TITLE I OF ERISA, (II) A PLAN DESCRIBED IN SECTION 4975(E)(1) OF THE INTERNAL REVENUE CODE OF 1986, AS AMENDED (THE “CODE”), THAT IS SUBJECT TO SECTION 4975 OF THE CODE, (III) A PLAN, INDIVIDUAL RETIREMENT ACCOUNT OR OTHER ARRANGEMENT THAT IS SUBJECT TO THE PROVISIONS OF ANY FEDERAL, STATE, LOCAL, NON-U.S. OR OTHER LAWS, RULES OR REGULATIONS THAT ARE SIMILAR TO SUCH PROVISIONS OF ERISA OR THE CODE (SUCH LAWS, COLLECTIVELY, “SIMILAR LAWS”) OR (IV) AN ENTITY OR ACCOUNT WHOSE UNDERLYING ASSETS ARE CONSIDERED TO INCLUDE THE ASSETS OF ANY SUCH PLAN OR ARRANGEMENT DESCRIBED IN (I), (II) OR (III) AND (B) ITS PURCHASE AND HOLDING OF THIS SECURITY, OR INTEREST THEREIN, WILL NOT CONSTITUTE OR RESULT IN A NON-EXEMPT PROHIBITED TRANSACTION UNDER SECTION 406 OF ERISA AND/OR SECTION 4975 OF THE CODE OR A VIOLATION OF ANY SIMILAR LAWS.</w:t>
      </w:r>
    </w:p>
    <w:p>
      <w:pPr>
        <w:spacing w:after="0" w:line="194"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[BY ITS ACQUISITION HEREOF, THE HOLDER HEREOF REPRESENTS THAT IT IS NOT A U.S. PERSON NOR IS IT PURCHASING FOR THE ACCOUNT OF A U.S. PERSON AND IS ACQUIRING THIS SECURITY IN AN OFFSHORE TRANSACTION IN ACCORDANCE WITH REGULATION S UNDER THE SECURITIES ACT.]</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17830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ind w:left="440" w:hanging="432"/>
        <w:spacing w:after="0"/>
        <w:tabs>
          <w:tab w:leader="none" w:pos="4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Applies to Regulation S Notes only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No. [A-[●] / S-[●]]</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CUSIP No. [494368 CF8 (144A) / U49436 AF2 (Reg S)] PRINCIPAL AMOUNT: $[●] ISIN No. [US494368CF85 (144A) / USU49436AF23 (Reg S)]</w:t>
      </w:r>
    </w:p>
    <w:p>
      <w:pPr>
        <w:spacing w:after="0" w:line="200" w:lineRule="exact"/>
        <w:rPr>
          <w:sz w:val="20"/>
          <w:szCs w:val="20"/>
          <w:color w:val="auto"/>
        </w:rPr>
      </w:pPr>
    </w:p>
    <w:p>
      <w:pPr>
        <w:spacing w:after="0" w:line="21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5.100% NOTES DUE OCTOBER 29, 2028</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Kimberly-Clark Corporation, a corporation duly incorporated and existing under the laws of the State of Delaware (hereinafter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corporation under the Indenture hereinafter referred to), for value received, hereby promises to pay to CEDE &amp; CO., or registered assigns, the principal sum of ($[●]) on October 29, 2028, and to pay interest thereon from October 29, 2026, or from the most recent Interest Payment Date to which interest has been paid or duly provided for semi-annually on April 29 and October 29 of each year, commencing April 29, 2027, at the rate of 5.100% per annum, until the principal hereof is paid or made available for payment. The interest so payable, and punctually paid or duly provided for, on any Interest Payment Date will, as provided in the Indenture, be paid to the Person in whose name this Security (or one or more Predecessor Securities) is registered at the close of business on the Regular Record Date for such interest, which shall be April 14 and October 14 (whether or not a Business Day), as the case may be, next preceding such Interest Payment Date. All references in this Security to any interest or other amount payable on or with respect to this Security will be deemed to include Additional Interest pursuant to the Registration Rights Agreement, if any. Any amounts of Additional Interest due will be payable in cash on the same original Interest Payment Dates as interest on this Security is payable.</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interest not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the Indenture.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or pdf or other electronically imaged (including, without limitation, DocuSign or AdobeSign) signature, this Security shall not be entitled to any benefit under the Indenture or be valid or obligatory for any purpose.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17"/>
          <w:szCs w:val="17"/>
          <w:color w:val="auto"/>
        </w:rPr>
        <w:t>IN WITNESS WHEREOF, the Company has caused this instrument to be duly executed under its corporate seal.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29,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AUTHENTICATION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series designated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 referred to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within-mentioned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successor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color w:val="auto"/>
        </w:rPr>
        <w:t>[Reverse of Note]</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5.100% NOTES DUE OCTOBER 29, 2028</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issued and to be issued in one or more series under a First Amended and Restated Indenture, dated as of March 1, 1988, as amended or supplemented from time to time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The Bank of New York Mellon Trust Company, N.A., as successor trustee and U.S. Bank Trust Company, National Association, as successor trustee in respect of the Future Notes (as defined in the Eighth Supplemental Indenture dated as of October 27, 2021)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$750,000,000.</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October 29, 2028 (the maturity date of the Securities) (the “</w:t>
      </w:r>
      <w:r>
        <w:rPr>
          <w:rFonts w:ascii="Times New Roman" w:cs="Times New Roman" w:eastAsia="Times New Roman" w:hAnsi="Times New Roman"/>
          <w:sz w:val="18"/>
          <w:szCs w:val="18"/>
          <w:u w:val="single" w:color="auto"/>
          <w:color w:val="auto"/>
        </w:rPr>
        <w:t>Measurement Date</w:t>
      </w:r>
      <w:r>
        <w:rPr>
          <w:rFonts w:ascii="Times New Roman" w:cs="Times New Roman" w:eastAsia="Times New Roman" w:hAnsi="Times New Roman"/>
          <w:sz w:val="18"/>
          <w:szCs w:val="18"/>
          <w:color w:val="auto"/>
        </w:rPr>
        <w:t>”), the Company may redeem the Securities at its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the Securities matured on the Measurement Date) on a semi-annual basis (assuming a 360-day year consisting of twelve 30-day months) at the Treasury Rate plus 10 basis points less (b) interest accrued to, but excluding, the Redemption Date, and (2) 100% of the principal amount of the Securities to be redeemed, plus, in either case, accrued and unpaid interest thereon to, but excluding, the Redemption Date.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the yield determined by the Company in accordance with the following two paragraphs.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will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8"/>
          <w:szCs w:val="18"/>
          <w:u w:val="single" w:color="auto"/>
          <w:color w:val="auto"/>
        </w:rPr>
        <w:t>H.15</w:t>
      </w:r>
      <w:r>
        <w:rPr>
          <w:rFonts w:ascii="Times New Roman" w:cs="Times New Roman" w:eastAsia="Times New Roman" w:hAnsi="Times New Roman"/>
          <w:sz w:val="18"/>
          <w:szCs w:val="18"/>
          <w:color w:val="auto"/>
        </w:rPr>
        <w:t>”) under the caption “U.S. government securities — Treasury constant maturities — Nominal” (or any successor caption or heading) (“</w:t>
      </w:r>
      <w:r>
        <w:rPr>
          <w:rFonts w:ascii="Times New Roman" w:cs="Times New Roman" w:eastAsia="Times New Roman" w:hAnsi="Times New Roman"/>
          <w:sz w:val="18"/>
          <w:szCs w:val="18"/>
          <w:u w:val="single" w:color="auto"/>
          <w:color w:val="auto"/>
        </w:rPr>
        <w:t>H.15 TCM</w:t>
      </w:r>
      <w:r>
        <w:rPr>
          <w:rFonts w:ascii="Times New Roman" w:cs="Times New Roman" w:eastAsia="Times New Roman" w:hAnsi="Times New Roman"/>
          <w:sz w:val="18"/>
          <w:szCs w:val="18"/>
          <w:color w:val="auto"/>
        </w:rPr>
        <w:t>”). In determining the Treasury Rate, the Company will select, as applicable: (1) the yield for the Treasury constant maturity on H.15 exactly equal to the period from the Redemption Date to the Measurement Date (the “</w:t>
      </w:r>
      <w:r>
        <w:rPr>
          <w:rFonts w:ascii="Times New Roman" w:cs="Times New Roman" w:eastAsia="Times New Roman" w:hAnsi="Times New Roman"/>
          <w:sz w:val="18"/>
          <w:szCs w:val="18"/>
          <w:u w:val="single" w:color="auto"/>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Measurement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or any successor designation or publication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Measurement Date, as applicable. If there is no United States Treasury security maturing on the Measurement Date but there are two or more United States Treasury securities with a maturity date equally distant from the Measurement Date, one with a maturity date preceding the Measurement Date and one with a maturity date following the Measurement Date, the Company will select the United States Treasury security with a maturity date preceding the Measurement Date. If there are two or more United States Treasury securities maturing on the Measurement Date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Notice of any redemption, other than any Special Mandatory Redemption, will be mailed or electronically delivered (or otherwise transmitted in accordance with the Depository’s procedures) at least 10 days but not more than 60 days before the Redemption Date to each Holder of Securities to be redeemed. Notice of any redemption of the Securities, other than any Special Mandatory Redemption, may, at the Company’s discretion, be given subject to one or more conditions precedent, including, but not limited to, completion of a corporate transaction. If such redemption is so subject to satisfaction of one or more conditions precedent, such notice shall describe each such condition, and, if applicable, will state that at the Company’s discretion, the Redemption Date may be delayed (including more than 60 days after the notice of redemption was given) until such time as any or all such conditions precedent will be satisfied (or waived by the Company in the Company’s sole discretion), or such notice may be rescinded in the event that any or all such conditions shall not have been satisfied or otherwise waived by the Redemption Date, or by the Redemption Date as so delayed. If any such redemption has been rescinded or delayed, the Company will provide written notice to the Trustee prior to the close of business two business days before the Redemption Date and, upon receipt, the Trustee will provide such notice to each Holder of the Securities. Once notice of redemption is mailed or sent, subject to the satisfaction or waiver (in the Company’s sole discretion) of any conditions precedent provided in the notice of redemption, the Securities called for redemption will become due and payable on the Redemption Date and at the applicable Redemption Price, plus accrued and unpaid interest to the Redemption Date.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case of a partial redemption, selection of the Securities for redemption will be made pro rata, by lot or by such other method as the Trustee in its sole discretion deems appropriate and fair. No Securities of a principal amount of $2,000 or less will be redeemed in part. If any Security is to be redeemed in part only, the notice of redemption that relates to the Security will state the portion of the principal amount of the Security to be redeemed. A new Security in a principal amount equal to the unredeemed portion of the Security will be issued in the name of the Holder of the Security upon surrender for cancellation of the original Security. For so long as the Securities are held by DTC (or another depositary), the redemption of the Securities, including the allocation of the Redemption Price among beneficial owners of the Securities, shall be done in accordance with the policies and procedures of the depositary.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Securities or portions thereof called for redemption.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will not be entitled to any sinking fund.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as defined in the Indenture, with respect to Securities of this series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entered into an Agreement and Plan of Merger, dated as of November 2, 2025 (as amended, supplemented or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Kenvue Inc., a Delaware corporation (“</w:t>
      </w:r>
      <w:r>
        <w:rPr>
          <w:rFonts w:ascii="Times New Roman" w:cs="Times New Roman" w:eastAsia="Times New Roman" w:hAnsi="Times New Roman"/>
          <w:sz w:val="18"/>
          <w:szCs w:val="18"/>
          <w:u w:val="single" w:color="auto"/>
          <w:color w:val="auto"/>
        </w:rPr>
        <w:t>Kenvue</w:t>
      </w:r>
      <w:r>
        <w:rPr>
          <w:rFonts w:ascii="Times New Roman" w:cs="Times New Roman" w:eastAsia="Times New Roman" w:hAnsi="Times New Roman"/>
          <w:sz w:val="18"/>
          <w:szCs w:val="18"/>
          <w:color w:val="auto"/>
        </w:rPr>
        <w:t>”), Vesta Sub I, Inc., a Delaware corporation and a direct wholly owned subsidiary of the Company (“</w:t>
      </w:r>
      <w:r>
        <w:rPr>
          <w:rFonts w:ascii="Times New Roman" w:cs="Times New Roman" w:eastAsia="Times New Roman" w:hAnsi="Times New Roman"/>
          <w:sz w:val="18"/>
          <w:szCs w:val="18"/>
          <w:u w:val="single" w:color="auto"/>
          <w:color w:val="auto"/>
        </w:rPr>
        <w:t>First Merger Sub</w:t>
      </w:r>
      <w:r>
        <w:rPr>
          <w:rFonts w:ascii="Times New Roman" w:cs="Times New Roman" w:eastAsia="Times New Roman" w:hAnsi="Times New Roman"/>
          <w:sz w:val="18"/>
          <w:szCs w:val="18"/>
          <w:color w:val="auto"/>
        </w:rPr>
        <w:t>”), and Vesta Sub II, LLC, a Delaware limited liability company and a direct wholly owned subsidiary of the Company (“</w:t>
      </w:r>
      <w:r>
        <w:rPr>
          <w:rFonts w:ascii="Times New Roman" w:cs="Times New Roman" w:eastAsia="Times New Roman" w:hAnsi="Times New Roman"/>
          <w:sz w:val="18"/>
          <w:szCs w:val="18"/>
          <w:u w:val="single" w:color="auto"/>
          <w:color w:val="auto"/>
        </w:rPr>
        <w:t>Second Merger Sub</w:t>
      </w:r>
      <w:r>
        <w:rPr>
          <w:rFonts w:ascii="Times New Roman" w:cs="Times New Roman" w:eastAsia="Times New Roman" w:hAnsi="Times New Roman"/>
          <w:sz w:val="18"/>
          <w:szCs w:val="18"/>
          <w:color w:val="auto"/>
        </w:rPr>
        <w:t>”). Under the terms of the Merger Agreement, First Merger Sub will merge with and into Kenvue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Kenvue surviving as a direct wholly owned subsidiary of the Company (the “</w:t>
      </w:r>
      <w:r>
        <w:rPr>
          <w:rFonts w:ascii="Times New Roman" w:cs="Times New Roman" w:eastAsia="Times New Roman" w:hAnsi="Times New Roman"/>
          <w:sz w:val="18"/>
          <w:szCs w:val="18"/>
          <w:u w:val="single" w:color="auto"/>
          <w:color w:val="auto"/>
        </w:rPr>
        <w:t>Initial Surviving Company</w:t>
      </w:r>
      <w:r>
        <w:rPr>
          <w:rFonts w:ascii="Times New Roman" w:cs="Times New Roman" w:eastAsia="Times New Roman" w:hAnsi="Times New Roman"/>
          <w:sz w:val="18"/>
          <w:szCs w:val="18"/>
          <w:color w:val="auto"/>
        </w:rPr>
        <w:t>”), and immediately following the First Merger, and as part of the same overall transaction as the First Merger, the Initial Surviving Company will merge with and into Second Merger Sub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with Second Merger Sub surviving the Second Merger as a direct wholly owned subsidiary of the Company.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(i) the First Merger has not been consummated prior to the date that is five (5) business days after the later of (x) May 31, 2027 or (y) any later date as the parties to the Merger Agreement may agree as the “Outside Date” thereunder or (ii) the Company notifies the Trustee that the Company will not pursue the consummation of the First Merger (each of (i) and (ii), a “</w:t>
      </w:r>
      <w:r>
        <w:rPr>
          <w:rFonts w:ascii="Times New Roman" w:cs="Times New Roman" w:eastAsia="Times New Roman" w:hAnsi="Times New Roman"/>
          <w:sz w:val="18"/>
          <w:szCs w:val="18"/>
          <w:u w:val="single" w:color="auto"/>
          <w:color w:val="auto"/>
        </w:rPr>
        <w:t>Special Mandatory Redemption Trigger</w:t>
      </w:r>
      <w:r>
        <w:rPr>
          <w:rFonts w:ascii="Times New Roman" w:cs="Times New Roman" w:eastAsia="Times New Roman" w:hAnsi="Times New Roman"/>
          <w:sz w:val="18"/>
          <w:szCs w:val="18"/>
          <w:color w:val="auto"/>
        </w:rPr>
        <w:t>”), then the Company will be required to redeem all outstanding Securities (such redemption, the “</w:t>
      </w:r>
      <w:r>
        <w:rPr>
          <w:rFonts w:ascii="Times New Roman" w:cs="Times New Roman" w:eastAsia="Times New Roman" w:hAnsi="Times New Roman"/>
          <w:sz w:val="18"/>
          <w:szCs w:val="18"/>
          <w:u w:val="single" w:color="auto"/>
          <w:color w:val="auto"/>
        </w:rPr>
        <w:t>Special Mandatory Redemption</w:t>
      </w:r>
      <w:r>
        <w:rPr>
          <w:rFonts w:ascii="Times New Roman" w:cs="Times New Roman" w:eastAsia="Times New Roman" w:hAnsi="Times New Roman"/>
          <w:sz w:val="18"/>
          <w:szCs w:val="18"/>
          <w:color w:val="auto"/>
        </w:rPr>
        <w:t>”) at a special mandatory Redemption Price equal to 101% of the aggregate principal amount of the Securities, plus accrued and unpaid interest, if any, to, but not including, the Special Mandatory Redemption Date (the “</w:t>
      </w:r>
      <w:r>
        <w:rPr>
          <w:rFonts w:ascii="Times New Roman" w:cs="Times New Roman" w:eastAsia="Times New Roman" w:hAnsi="Times New Roman"/>
          <w:sz w:val="18"/>
          <w:szCs w:val="18"/>
          <w:u w:val="single" w:color="auto"/>
          <w:color w:val="auto"/>
        </w:rPr>
        <w:t>Special Mandatory Redemption Price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that the Company becomes obligated to redeem the Securities pursuant to the Special Mandatory Redemption, the Company will promptly, and in any event not more than ten (10) business days after the date on which a Special Mandatory Redemption Trigger occurred, deliver notice to the Trustee of the Special Mandatory Redemption and the date upon which the Securities will be redeemed (the “</w:t>
      </w:r>
      <w:r>
        <w:rPr>
          <w:rFonts w:ascii="Times New Roman" w:cs="Times New Roman" w:eastAsia="Times New Roman" w:hAnsi="Times New Roman"/>
          <w:sz w:val="18"/>
          <w:szCs w:val="18"/>
          <w:u w:val="single" w:color="auto"/>
          <w:color w:val="auto"/>
        </w:rPr>
        <w:t>Special Mandatory Redemption Date</w:t>
      </w:r>
      <w:r>
        <w:rPr>
          <w:rFonts w:ascii="Times New Roman" w:cs="Times New Roman" w:eastAsia="Times New Roman" w:hAnsi="Times New Roman"/>
          <w:sz w:val="18"/>
          <w:szCs w:val="18"/>
          <w:color w:val="auto"/>
        </w:rPr>
        <w:t>,” which date shall be no earlier than five (5) days and no later than thirty (30) days following the date of such notice, unless some longer minimum period may be required by DTC (or any successor depositary selected or approved by the Company)). The Trustee will then promptly mail, or electronically deliver, according to the procedures of DTC, such notice of Special Mandatory Redemption to each Holder of the Securities to be redeemed. Unless the Company defaults in payment of the Special Mandatory Redemption Price, on and after such Special Mandatory Redemption Date, interest will cease to accrue on the Securities to be redeemed.</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any series of the Securities that are due and payable on Interest Payment Dates falling on or prior to the Special Mandatory Redemption Date will be payable on such Interest Payment Dates to the Holders as of the close of business on the Regular Record Dates for the payment of interest in accordance with the Securities and the Indenture.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consummation of the First Merger, the foregoing provisions regarding the Special Mandatory Redemption will cease to apply. For purposes of the foregoing, the First Merger will be deemed consummated if the closing of the First Merger as contemplated under the Merger Agreement occurs, including after giving effect to any amendments, modifications or waivers to the Merger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a majority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(a) the entire indebtedness on this Security and (b) certain restrictive covenants and certain Events of Default, upon compliance by the Company with certain conditions set forth therein, which provisions apply to this Security.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due presentment for registration of transfer of this Security at the office or agency of the Trustee maintained for that purpose in St. Paul, Minnesota, a new Security or Securities of this series in authorized denominations for an equal aggregate principal amount will be issued to the transferee in exchange herefor, as provided in the Indenture and subject to the limitations provided therein and to the limitations described below, without charge except for any tax or other governmental charge imposed in connection therewith.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Security is exchangeable for definitive Securities in registered form only if (x) the Depository notifies the Company that it is unwilling or unable to continue as Depository for this Security or if at any time the Depository ceases to be a clearing agency registered under the Securities Exchange Act of 1934, as amended, or (y) the Company in its sole discretion determines that this Security shall be exchangeable for definitive Securities in registered form and notifies the Trustee thereof. If this Security is exchangeable pursuant to the preceding sentence, it shall be exchangeable for definitive Securities in registered form in denominations of $2,000 and any integral multiple of $1,000 in excess thereof, registered in such names as such Depository shall direct, bearing interest at the same rate, having the same date of issuance, redemption provisions, Stated Maturity and other terms and of differing denominations aggregating a like amount.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Security may not be transferred except as a whole by the Depository to a nominee of the Depository, or by a nominee of the Depository to the Depository or another nominee of the Depository, or by the Depository or any such nominee to a successor of the Depository or a nominee of such successor. Except as provided above, owners of beneficial interests in this global Security will not be entitled to receive physical delivery of Securities in definitive form and will not be considered the Holders hereof for any purpose under the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premium, if any) and interest on this Security at the times, place and rate, and in the coin or currency, herein prescribed, except that in the event the Company deposits money or Government Obligations as provided in Sections 402 or 1006 of the Indenture, such payments will be made only from proceeds of such money or Government Obligations.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premium, if any) or the interest on this Security, or for any claim based hereon, or otherwise in respect hereof, or based on or in respect of the Indenture or any indenture supplemental thereto, against any incorporator, stockholder, officer or director, as such, past, present or future, of the Company or any successor corporation, whether by virtue of any constitution, statute or rule of law, or by the enforcement of any assessment or penalty or otherwise, all such liability being, by the acceptance hereof and as part of the consideration for the issuance hereof, expressly waived and released.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Anything in the Indenture or the Security of this series to the contrary notwithstanding, for the purposes of the transactions contemplated by the Indenture relating to the Security of this series, the Security of this series and any document to be signed in connection with the Indenture or such Security (including the Securities of this series and amendments, supplements, waivers, consents and other modifications, Officers’ Certificates, Company Orders and Opinions of Counsel and other issuance, authentication and delivery documents) or the transactions contemplated hereby may be signed by manual signatures that are scanned, photocopied or faxed or other electronic signatures created on an electronic platform (such as DocuSign) or by digital signature (such as Adobe Sign), in each case that is approved by the Trustee, and contract formations on electronic platforms approved by the Trustee, and the keeping of records in electronic form, are hereby authorized, and each shall be of the same legal effect, validity or enforceability as a manually executed signature in ink or the use of a paper-based recordkeeping system, as the case may be.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in this Security which are defined in the Indenture shall have the meanings assigned to them in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right"/>
        <w:ind w:right="4019"/>
        <w:spacing w:after="0"/>
        <w:rPr>
          <w:sz w:val="20"/>
          <w:szCs w:val="20"/>
          <w:color w:val="auto"/>
        </w:rPr>
      </w:pPr>
      <w:r>
        <w:rPr>
          <w:rFonts w:ascii="Times New Roman" w:cs="Times New Roman" w:eastAsia="Times New Roman" w:hAnsi="Times New Roman"/>
          <w:sz w:val="18"/>
          <w:szCs w:val="18"/>
          <w:b w:val="1"/>
          <w:bCs w:val="1"/>
          <w:color w:val="auto"/>
        </w:rPr>
        <w:t>EXHIBIT A2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A DEPOSITORY OR A NOMINEE OF A DEPOSITORY, WHICH MAY BE TREATED BY THE COMPANY, THE TRUSTEE AND ANY AGENT THEREOF AS OWNER AND HOLDER OF THIS SECURITY FOR ALL PURPOSES. THIS GLOBAL SECURITY IS EXCHANGEABLE FOR SECURITIES REGISTERED IN THE NAME OF A PERSON OTHER THAN THE DEPOSITORY OR ITS NOMINEE ONLY IN THE LIMITED CIRCUMSTANCES HEREINAFTER DESCRIBED AND MAY NOT BE TRANSFERRED EXCEPT AS A WHOLE BY THE DEPOSITORY TO A NOMINEE OF THE DEPOSITORY OR BY A NOMINEE OF THE DEPOSITORY TO THE DEPOSITORY.</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THIS SECURITY IS PRESENTED BY AN AUTHORIZED REPRESENTATIVE OF THE DEPOSITORY TRUST COMPANY, A NEW YORK CORPORATION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5" w:name="page86"/>
    <w:bookmarkEnd w:id="85"/>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PLEDGE OR OTHERWISE TRANSFER SUCH SECURITY, PRIOR TO THE DATE (THE “RESALE RESTRICTION TERMINATION DATE”) THAT IS [IN THE CASE OF RULE 144A GLOBAL NOTES: ONE YEAR AFTER THE LATER OF THE ISSUE DATE HEREOF OR ANY OTHER ISSUE DATE IN RESPECT OF A FURTHER ISSUANCE OF SECURITIES OF THE SAME SERIES AND THE LAST DATE ON WHICH KIMBERLY-CLARK CORPORATION OR ANY AFFILIATE OF KIMBERLY-CLARK CORPORATION WAS THE OWNER OF THIS SECURITY (OR ANY PREDECESSOR OF SUCH SECURITY), ONLY (A) TO KIMBERLY-CLARK CORPORATION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w:t>
      </w:r>
    </w:p>
    <w:p>
      <w:pPr>
        <w:spacing w:after="0" w:line="198" w:lineRule="exact"/>
        <w:rPr>
          <w:sz w:val="20"/>
          <w:szCs w:val="20"/>
          <w:color w:val="auto"/>
        </w:rPr>
      </w:pPr>
    </w:p>
    <w:p>
      <w:pPr>
        <w:jc w:val="both"/>
        <w:ind w:firstLine="8"/>
        <w:spacing w:after="0" w:line="250" w:lineRule="auto"/>
        <w:tabs>
          <w:tab w:leader="none" w:pos="33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[IN THE CASE OF REGULATION S NOTES: 40 DAYS AFTER THE LATER OF THE ISSUE DATE HEREOF OR ANY OTHER ISSUE DATE IN RESPECT OF A FURTHER ISSUANCE OF SECURITIES OF THE SAME SERIES AND THE DATE ON WHICH THIS SECURITY (OR ANY PREDECESSOR OF SUCH SECURITY) WAS FIRST OFFERED TO PERSONS OTHER THAN DISTRIBUTORS (AS DEFINED IN RULE 902 OF REGULATION S) IN RELIANCE ON REGULATION S, ONLY (A) TO KIMBERLY-CLARK CORPORATION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 (E) 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PROVIDED THAT PRIOR TO THE RESALE RESTRICTION TERMINATION DATE, THE HOLDER AGREES ON ITS OWN BEHALF AND ON BEHALF OF ANY INVESTOR ACCOUNT FOR WHICH IT HAS PURCHASED SECURITIES, TO NOT OFFER, SELL, PLEDGE OR OTHERWISE TRANSFER SUCH SECURITY TO A U.S. PERSON OR FOR THE ACCOUNT OR BENEFIT OF A U.S. PERSON.]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BY ITS ACQUISITION HEREOF, THE HOLDER HEREOF AGREES THAT (A) IT IS NOT, AND WILL NOT BECOME (I) AN “EMPLOYEE BENEFIT PLAN” (AS DEFINED IN SECTION 3(3) OF THE EMPLOYEE RETIREMENT INCOME SECURITY ACT OF 1974, AS AMENDED (“ERISA”)) THAT IS SUBJECT TO TITLE I OF ERISA, (II) A PLAN DESCRIBED IN SECTION 4975(E)(1) OF THE INTERNAL REVENUE CODE OF 1986, AS AMENDED (THE “CODE”), THAT IS SUBJECT TO SECTION 4975 OF THE CODE, (III) A PLAN, INDIVIDUAL RETIREMENT ACCOUNT OR OTHER ARRANGEMENT THAT IS SUBJECT TO THE PROVISIONS OF ANY FEDERAL, STATE, LOCAL, NON-U.S. OR OTHER LAWS, RULES OR REGULATIONS THAT ARE SIMILAR TO SUCH PROVISIONS OF ERISA OR THE CODE (SUCH LAWS, COLLECTIVELY, “SIMILAR LAWS”) OR (IV) AN ENTITY OR ACCOUNT WHOSE UNDERLYING ASSETS ARE CONSIDERED TO INCLUDE THE ASSETS OF ANY SUCH PLAN OR ARRANGEMENT DESCRIBED IN (I), (II) OR (III) AND (B) ITS PURCHASE AND HOLDING OF THIS SECURITY, OR INTEREST THEREIN, WILL NOT CONSTITUTE OR RESULT IN A NON-EXEMPT PROHIBITED TRANSACTION UNDER SECTION 406 OF ERISA AND/OR SECTION 4975 OF THE CODE OR A VIOLATION OF ANY SIMILAR LAWS.</w:t>
      </w:r>
    </w:p>
    <w:p>
      <w:pPr>
        <w:spacing w:after="0" w:line="194"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[BY ITS ACQUISITION HEREOF, THE HOLDER HEREOF REPRESENTS THAT IT IS NOT A U.S. PERSON NOR IS IT PURCHASING FOR THE ACCOUNT OF A U.S. PERSON AND IS ACQUIRING THIS SECURITY IN AN OFFSHORE TRANSACTION IN ACCORDANCE WITH REGULATION S UNDER THE SECURITIES ACT.]</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17830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ind w:left="440" w:hanging="432"/>
        <w:spacing w:after="0"/>
        <w:tabs>
          <w:tab w:leader="none" w:pos="4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Applies to Regulation S Notes only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No. [A-[●] / S-[●]]</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CUSIP No. [494368 CG6 (144A) / U49436 AG0 (Reg S)] PRINCIPAL AMOUNT: $[●] ISIN No. [US494368CG68 (144A) / USU49436AG06 (Reg S)]</w:t>
      </w:r>
    </w:p>
    <w:p>
      <w:pPr>
        <w:spacing w:after="0" w:line="200" w:lineRule="exact"/>
        <w:rPr>
          <w:sz w:val="20"/>
          <w:szCs w:val="20"/>
          <w:color w:val="auto"/>
        </w:rPr>
      </w:pPr>
    </w:p>
    <w:p>
      <w:pPr>
        <w:spacing w:after="0" w:line="21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5.300% NOTES DUE OCTOBER 29, 2029</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Kimberly-Clark Corporation, a corporation duly incorporated and existing under the laws of the State of Delaware (hereinafter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corporation under the Indenture hereinafter referred to), for value received, hereby promises to pay to CEDE &amp; CO., or registered assigns, the principal sum of ($[●]) on October 29, 2029, and to pay interest thereon from October 29, 2026, or from the most recent Interest Payment Date to which interest has been paid or duly provided for semi-annually on April 29 and October 29 of each year, commencing April 29, 2027, at the rate of 5.300% per annum, until the principal hereof is paid or made available for payment. The interest so payable, and punctually paid or duly provided for, on any Interest Payment Date will, as provided in the Indenture, be paid to the Person in whose name this Security (or one or more Predecessor Securities) is registered at the close of business on the Regular Record Date for such interest, which shall be April 14 and October 14 (whether or not a Business Day), as the case may be, next preceding such Interest Payment Date. All references in this Security to any interest or other amount payable on or with respect to this Security will be deemed to include Additional Interest pursuant to the Registration Rights Agreement, if any. Any amounts of Additional Interest due will be payable in cash on the same original Interest Payment Dates as interest on this Security is payable.</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interest not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the Indenture.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or pdf or other electronically imaged (including, without limitation, DocuSign or AdobeSign) signature, this Security shall not be entitled to any benefit under the Indenture or be valid or obligatory for any purpose.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ind w:left="660"/>
        <w:spacing w:after="0"/>
        <w:rPr>
          <w:sz w:val="20"/>
          <w:szCs w:val="20"/>
          <w:color w:val="auto"/>
        </w:rPr>
      </w:pPr>
      <w:r>
        <w:rPr>
          <w:rFonts w:ascii="Times New Roman" w:cs="Times New Roman" w:eastAsia="Times New Roman" w:hAnsi="Times New Roman"/>
          <w:sz w:val="17"/>
          <w:szCs w:val="17"/>
          <w:color w:val="auto"/>
        </w:rPr>
        <w:t>IN WITNESS WHEREOF, the Company has caused this instrument to be duly executed under its corporate seal.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29,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AUTHENTICATION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series designated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 referred to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within-mentioned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successor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color w:val="auto"/>
        </w:rPr>
        <w:t>[Reverse of Note]</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5.300% NOTES DUE OCTOBER 29, 2029</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issued and to be issued in one or more series under a First Amended and Restated Indenture, dated as of March 1, 1988, as amended or supplemented from time to time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The Bank of New York Mellon Trust Company, N.A., as successor trustee and U.S. Bank Trust Company, National Association, as successor trustee in respect of the Future Notes (as defined in the Eighth Supplemental Indenture dated as of October 27, 2021)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$1,000,000,000.</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Prior to September 29, 2029 (one month prior to the maturity date of the Securities) (the “</w:t>
      </w:r>
      <w:r>
        <w:rPr>
          <w:rFonts w:ascii="Times New Roman" w:cs="Times New Roman" w:eastAsia="Times New Roman" w:hAnsi="Times New Roman"/>
          <w:sz w:val="18"/>
          <w:szCs w:val="18"/>
          <w:u w:val="single" w:color="auto"/>
          <w:color w:val="auto"/>
        </w:rPr>
        <w:t>Measurement Date</w:t>
      </w:r>
      <w:r>
        <w:rPr>
          <w:rFonts w:ascii="Times New Roman" w:cs="Times New Roman" w:eastAsia="Times New Roman" w:hAnsi="Times New Roman"/>
          <w:sz w:val="18"/>
          <w:szCs w:val="18"/>
          <w:color w:val="auto"/>
        </w:rPr>
        <w:t>”), the Company may redeem the Securities at its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the Securities matured on the Measurement Date) on a semi-annual basis (assuming a 360-day year consisting of twelve 30-day months) at the Treasury Rate plus 10 basis points less (b) interest accrued to, but excluding, the Redemption Date, and</w:t>
      </w:r>
    </w:p>
    <w:p>
      <w:pPr>
        <w:spacing w:after="0" w:line="3" w:lineRule="exact"/>
        <w:rPr>
          <w:sz w:val="20"/>
          <w:szCs w:val="20"/>
          <w:color w:val="auto"/>
        </w:rPr>
      </w:pPr>
    </w:p>
    <w:p>
      <w:pPr>
        <w:jc w:val="both"/>
        <w:ind w:firstLine="8"/>
        <w:spacing w:after="0" w:line="253" w:lineRule="auto"/>
        <w:tabs>
          <w:tab w:leader="none" w:pos="28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Securities to be redeemed, plus, in either case, accrued and unpaid interest thereon to, but excluding, the Redemption Date. On or after the Measurement Date, the Company may redeem the Securities, in whole or in part, at any time and from time to time, at a Redemption Price equal to 100% of the principal amount of the Securities being redeemed plus accrued and unpaid interest thereon to, but excluding, the Redemption Date.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the yield determined by the Company in accordance with the following two paragraphs.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will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8"/>
          <w:szCs w:val="18"/>
          <w:u w:val="single" w:color="auto"/>
          <w:color w:val="auto"/>
        </w:rPr>
        <w:t>H.15</w:t>
      </w:r>
      <w:r>
        <w:rPr>
          <w:rFonts w:ascii="Times New Roman" w:cs="Times New Roman" w:eastAsia="Times New Roman" w:hAnsi="Times New Roman"/>
          <w:sz w:val="18"/>
          <w:szCs w:val="18"/>
          <w:color w:val="auto"/>
        </w:rPr>
        <w:t>”) under the caption “U.S. government securities — Treasury constant maturities — Nominal” (or any successor caption or heading) (“</w:t>
      </w:r>
      <w:r>
        <w:rPr>
          <w:rFonts w:ascii="Times New Roman" w:cs="Times New Roman" w:eastAsia="Times New Roman" w:hAnsi="Times New Roman"/>
          <w:sz w:val="18"/>
          <w:szCs w:val="18"/>
          <w:u w:val="single" w:color="auto"/>
          <w:color w:val="auto"/>
        </w:rPr>
        <w:t>H.15 TCM</w:t>
      </w:r>
      <w:r>
        <w:rPr>
          <w:rFonts w:ascii="Times New Roman" w:cs="Times New Roman" w:eastAsia="Times New Roman" w:hAnsi="Times New Roman"/>
          <w:sz w:val="18"/>
          <w:szCs w:val="18"/>
          <w:color w:val="auto"/>
        </w:rPr>
        <w:t>”). In determining the Treasury Rate, the Company will select, as applicable: (1) the yield for the Treasury constant maturity on H.15 exactly equal to the period from the Redemption Date to the Measurement Date (the “</w:t>
      </w:r>
      <w:r>
        <w:rPr>
          <w:rFonts w:ascii="Times New Roman" w:cs="Times New Roman" w:eastAsia="Times New Roman" w:hAnsi="Times New Roman"/>
          <w:sz w:val="18"/>
          <w:szCs w:val="18"/>
          <w:u w:val="single" w:color="auto"/>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Measurement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or any successor designation or publication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Measurement Date, as applicable. If there is no United States Treasury security maturing on the Measurement Date but there are two or more United States Treasury securities with a maturity date equally distant from the Measurement Date, one with a maturity date preceding the Measurement Date and one with a maturity date following the Measurement Date, the Company will select the United States Treasury security with a maturity date preceding the Measurement Date. If there are two or more United States Treasury securities maturing on the Measurement Date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Notice of any redemption, other than any Special Mandatory Redemption, will be mailed or electronically delivered (or otherwise transmitted in accordance with the Depository’s procedures) at least 10 days but not more than 60 days before the Redemption Date to each Holder of Securities to be redeemed. Notice of any redemption of the Securities, other than any Special Mandatory Redemption, may, at the Company’s discretion, be given subject to one or more conditions precedent, including, but not limited to, completion of a corporate transaction. If such redemption is so subject to satisfaction of one or more conditions precedent, such notice shall describe each such condition, and, if applicable, will state that at the Company’s discretion, the Redemption Date may be delayed (including more than 60 days after the notice of redemption was given) until such time as any or all such conditions precedent will be satisfied (or waived by the Company in the Company’s sole discretion), or such notice may be rescinded in the event that any or all such conditions shall not have been satisfied or otherwise waived by the Redemption Date, or by the Redemption Date as so delayed. If any such redemption has been rescinded or delayed, the Company will provide written notice to the Trustee prior to the close of business two business days before the Redemption Date and, upon receipt, the Trustee will provide such notice to each Holder of the Securities. Once notice of redemption is mailed or sent, subject to the satisfaction or waiver (in the Company’s sole discretion) of any conditions precedent provided in the notice of redemption, the Securities called for redemption will become due and payable on the Redemption Date and at the applicable Redemption Price, plus accrued and unpaid interest to the Redemption Date.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case of a partial redemption, selection of the Securities for redemption will be made pro rata, by lot or by such other method as the Trustee in its sole discretion deems appropriate and fair. No Securities of a principal amount of $2,000 or less will be redeemed in part. If any Security is to be redeemed in part only, the notice of redemption that relates to the Security will state the portion of the principal amount of the Security to be redeemed. A new Security in a principal amount equal to the unredeemed portion of the Security will be issued in the name of the Holder of the Security upon surrender for cancellation of the original Security. For so long as the Securities are held by DTC (or another depositary), the redemption of the Securities, including the allocation of the Redemption Price among beneficial owners of the Securities, shall be done in accordance with the policies and procedures of the depositary.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Securities or portions thereof called for redemption.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will not be entitled to any sinking fund.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as defined in the Indenture, with respect to Securities of this series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entered into an Agreement and Plan of Merger, dated as of November 2, 2025 (as amended, supplemented or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Kenvue Inc., a Delaware corporation (“</w:t>
      </w:r>
      <w:r>
        <w:rPr>
          <w:rFonts w:ascii="Times New Roman" w:cs="Times New Roman" w:eastAsia="Times New Roman" w:hAnsi="Times New Roman"/>
          <w:sz w:val="18"/>
          <w:szCs w:val="18"/>
          <w:u w:val="single" w:color="auto"/>
          <w:color w:val="auto"/>
        </w:rPr>
        <w:t>Kenvue</w:t>
      </w:r>
      <w:r>
        <w:rPr>
          <w:rFonts w:ascii="Times New Roman" w:cs="Times New Roman" w:eastAsia="Times New Roman" w:hAnsi="Times New Roman"/>
          <w:sz w:val="18"/>
          <w:szCs w:val="18"/>
          <w:color w:val="auto"/>
        </w:rPr>
        <w:t>”), Vesta Sub I, Inc., a Delaware corporation and a direct wholly owned subsidiary of the Company (“</w:t>
      </w:r>
      <w:r>
        <w:rPr>
          <w:rFonts w:ascii="Times New Roman" w:cs="Times New Roman" w:eastAsia="Times New Roman" w:hAnsi="Times New Roman"/>
          <w:sz w:val="18"/>
          <w:szCs w:val="18"/>
          <w:u w:val="single" w:color="auto"/>
          <w:color w:val="auto"/>
        </w:rPr>
        <w:t>First Merger Sub</w:t>
      </w:r>
      <w:r>
        <w:rPr>
          <w:rFonts w:ascii="Times New Roman" w:cs="Times New Roman" w:eastAsia="Times New Roman" w:hAnsi="Times New Roman"/>
          <w:sz w:val="18"/>
          <w:szCs w:val="18"/>
          <w:color w:val="auto"/>
        </w:rPr>
        <w:t>”), and Vesta Sub II, LLC, a Delaware limited liability company and a direct wholly owned subsidiary of the Company (“</w:t>
      </w:r>
      <w:r>
        <w:rPr>
          <w:rFonts w:ascii="Times New Roman" w:cs="Times New Roman" w:eastAsia="Times New Roman" w:hAnsi="Times New Roman"/>
          <w:sz w:val="18"/>
          <w:szCs w:val="18"/>
          <w:u w:val="single" w:color="auto"/>
          <w:color w:val="auto"/>
        </w:rPr>
        <w:t>Second Merger Sub</w:t>
      </w:r>
      <w:r>
        <w:rPr>
          <w:rFonts w:ascii="Times New Roman" w:cs="Times New Roman" w:eastAsia="Times New Roman" w:hAnsi="Times New Roman"/>
          <w:sz w:val="18"/>
          <w:szCs w:val="18"/>
          <w:color w:val="auto"/>
        </w:rPr>
        <w:t>”). Under the terms of the Merger Agreement, First Merger Sub will merge with and into Kenvue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Kenvue surviving as a direct wholly owned subsidiary of the Company (the “</w:t>
      </w:r>
      <w:r>
        <w:rPr>
          <w:rFonts w:ascii="Times New Roman" w:cs="Times New Roman" w:eastAsia="Times New Roman" w:hAnsi="Times New Roman"/>
          <w:sz w:val="18"/>
          <w:szCs w:val="18"/>
          <w:u w:val="single" w:color="auto"/>
          <w:color w:val="auto"/>
        </w:rPr>
        <w:t>Initial Surviving Company</w:t>
      </w:r>
      <w:r>
        <w:rPr>
          <w:rFonts w:ascii="Times New Roman" w:cs="Times New Roman" w:eastAsia="Times New Roman" w:hAnsi="Times New Roman"/>
          <w:sz w:val="18"/>
          <w:szCs w:val="18"/>
          <w:color w:val="auto"/>
        </w:rPr>
        <w:t>”), and immediately following the First Merger, and as part of the same overall transaction as the First Merger, the Initial Surviving Company will merge with and into Second Merger Sub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with Second Merger Sub surviving the Second Merger as a direct wholly owned subsidiary of the Company.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(i) the First Merger has not been consummated prior to the date that is five (5) business days after the later of (x) May 31, 2027 or (y) any later date as the parties to the Merger Agreement may agree as the “Outside Date” thereunder or (ii) the Company notifies the Trustee that the Company will not pursue the consummation of the First Merger (each of (i) and (ii), a “</w:t>
      </w:r>
      <w:r>
        <w:rPr>
          <w:rFonts w:ascii="Times New Roman" w:cs="Times New Roman" w:eastAsia="Times New Roman" w:hAnsi="Times New Roman"/>
          <w:sz w:val="18"/>
          <w:szCs w:val="18"/>
          <w:u w:val="single" w:color="auto"/>
          <w:color w:val="auto"/>
        </w:rPr>
        <w:t>Special Mandatory Redemption Trigger</w:t>
      </w:r>
      <w:r>
        <w:rPr>
          <w:rFonts w:ascii="Times New Roman" w:cs="Times New Roman" w:eastAsia="Times New Roman" w:hAnsi="Times New Roman"/>
          <w:sz w:val="18"/>
          <w:szCs w:val="18"/>
          <w:color w:val="auto"/>
        </w:rPr>
        <w:t>”), then the Company will be required to redeem all outstanding Securities (such redemption, the “</w:t>
      </w:r>
      <w:r>
        <w:rPr>
          <w:rFonts w:ascii="Times New Roman" w:cs="Times New Roman" w:eastAsia="Times New Roman" w:hAnsi="Times New Roman"/>
          <w:sz w:val="18"/>
          <w:szCs w:val="18"/>
          <w:u w:val="single" w:color="auto"/>
          <w:color w:val="auto"/>
        </w:rPr>
        <w:t>Special Mandatory Redemption</w:t>
      </w:r>
      <w:r>
        <w:rPr>
          <w:rFonts w:ascii="Times New Roman" w:cs="Times New Roman" w:eastAsia="Times New Roman" w:hAnsi="Times New Roman"/>
          <w:sz w:val="18"/>
          <w:szCs w:val="18"/>
          <w:color w:val="auto"/>
        </w:rPr>
        <w:t>”) at a special mandatory Redemption Price equal to 101% of the aggregate principal amount of the Securities, plus accrued and unpaid interest, if any, to, but not including, the Special Mandatory Redemption Date (the “</w:t>
      </w:r>
      <w:r>
        <w:rPr>
          <w:rFonts w:ascii="Times New Roman" w:cs="Times New Roman" w:eastAsia="Times New Roman" w:hAnsi="Times New Roman"/>
          <w:sz w:val="18"/>
          <w:szCs w:val="18"/>
          <w:u w:val="single" w:color="auto"/>
          <w:color w:val="auto"/>
        </w:rPr>
        <w:t>Special Mandatory Redemption Price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that the Company becomes obligated to redeem the Securities pursuant to the Special Mandatory Redemption, the Company will promptly, and in any event not more than ten (10) business days after the date on which a Special Mandatory Redemption Trigger occurred, deliver notice to the Trustee of the Special Mandatory Redemption and the date upon which the Securities will be redeemed (the “</w:t>
      </w:r>
      <w:r>
        <w:rPr>
          <w:rFonts w:ascii="Times New Roman" w:cs="Times New Roman" w:eastAsia="Times New Roman" w:hAnsi="Times New Roman"/>
          <w:sz w:val="18"/>
          <w:szCs w:val="18"/>
          <w:u w:val="single" w:color="auto"/>
          <w:color w:val="auto"/>
        </w:rPr>
        <w:t>Special Mandatory Redemption Date</w:t>
      </w:r>
      <w:r>
        <w:rPr>
          <w:rFonts w:ascii="Times New Roman" w:cs="Times New Roman" w:eastAsia="Times New Roman" w:hAnsi="Times New Roman"/>
          <w:sz w:val="18"/>
          <w:szCs w:val="18"/>
          <w:color w:val="auto"/>
        </w:rPr>
        <w:t>,” which date shall be no earlier than five (5) days and no later than thirty (30) days following the date of such notice, unless some longer minimum period may be required by DTC (or any successor depositary selected or approved by the Company)). The Trustee will then promptly mail, or electronically deliver, according to the procedures of DTC, such notice of Special Mandatory Redemption to each Holder of the Securities to be redeemed. Unless the Company defaults in payment of the Special Mandatory Redemption Price, on and after such Special Mandatory Redemption Date, interest will cease to accrue on the Securities to be redeemed.</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any series of the Securities that are due and payable on Interest Payment Dates falling on or prior to the Special Mandatory Redemption Date will be payable on such Interest Payment Dates to the Holders as of the close of business on the Regular Record Dates for the payment of interest in accordance with the Securities and the Indenture.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consummation of the First Merger, the foregoing provisions regarding the Special Mandatory Redemption will cease to apply. For purposes of the foregoing, the First Merger will be deemed consummated if the closing of the First Merger as contemplated under the Merger Agreement occurs, including after giving effect to any amendments, modifications or waivers to the Merger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a majority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(a) the entire indebtedness on this Security and (b) certain restrictive covenants and certain Events of Default, upon compliance by the Company with certain conditions set forth therein, which provisions apply to this Security.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due presentment for registration of transfer of this Security at the office or agency of the Trustee maintained for that purpose in St. Paul, Minnesota, a new Security or Securities of this series in authorized denominations for an equal aggregate principal amount will be issued to the transferee in exchange herefor, as provided in the Indenture and subject to the limitations provided therein and to the limitations described below, without charge except for any tax or other governmental charge imposed in connection therewith.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Security is exchangeable for definitive Securities in registered form only if (x) the Depository notifies the Company that it is unwilling or unable to continue as Depository for this Security or if at any time the Depository ceases to be a clearing agency registered under the Securities Exchange Act of 1934, as amended, or (y) the Company in its sole discretion determines that this Security shall be exchangeable for definitive Securities in registered form and notifies the Trustee thereof. If this Security is exchangeable pursuant to the preceding sentence, it shall be exchangeable for definitive Securities in registered form in denominations of $2,000 and any integral multiple of $1,000 in excess thereof, registered in such names as such Depository shall direct, bearing interest at the same rate, having the same date of issuance, redemption provisions, Stated Maturity and other terms and of differing denominations aggregating a like amount.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Security may not be transferred except as a whole by the Depository to a nominee of the Depository, or by a nominee of the Depository to the Depository or another nominee of the Depository, or by the Depository or any such nominee to a successor of the Depository or a nominee of such successor. Except as provided above, owners of beneficial interests in this global Security will not be entitled to receive physical delivery of Securities in definitive form and will not be considered the Holders hereof for any purpose under the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premium, if any) and interest on this Security at the times, place and rate, and in the coin or currency, herein prescribed, except that in the event the Company deposits money or Government Obligations as provided in Sections 402 or 1006 of the Indenture, such payments will be made only from proceeds of such money or Government Obligations.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premium, if any) or the interest on this Security, or for any claim based hereon, or otherwise in respect hereof, or based on or in respect of the Indenture or any indenture supplemental thereto, against any incorporator, stockholder, officer or director, as such, past, present or future, of the Company or any successor corporation, whether by virtue of any constitution, statute or rule of law, or by the enforcement of any assessment or penalty or otherwise, all such liability being, by the acceptance hereof and as part of the consideration for the issuance hereof, expressly waived and released.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Anything in the Indenture or the Security of this series to the contrary notwithstanding, for the purposes of the transactions contemplated by the Indenture relating to the Security of this series, the Security of this series and any document to be signed in connection with the Indenture or such Security (including the Securities of this series and amendments, supplements, waivers, consents and other modifications, Officers’ Certificates, Company Orders and Opinions of Counsel and other issuance, authentication and delivery documents) or the transactions contemplated hereby may be signed by manual signatures that are scanned, photocopied or faxed or other electronic signatures created on an electronic platform (such as DocuSign) or by digital signature (such as Adobe Sign), in each case that is approved by the Trustee, and contract formations on electronic platforms approved by the Trustee, and the keeping of records in electronic form, are hereby authorized, and each shall be of the same legal effect, validity or enforceability as a manually executed signature in ink or the use of a paper-based recordkeeping system, as the case may be.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in this Security which are defined in the Indenture shall have the meanings assigned to them in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right"/>
        <w:ind w:right="4019"/>
        <w:spacing w:after="0"/>
        <w:rPr>
          <w:sz w:val="20"/>
          <w:szCs w:val="20"/>
          <w:color w:val="auto"/>
        </w:rPr>
      </w:pPr>
      <w:r>
        <w:rPr>
          <w:rFonts w:ascii="Times New Roman" w:cs="Times New Roman" w:eastAsia="Times New Roman" w:hAnsi="Times New Roman"/>
          <w:sz w:val="18"/>
          <w:szCs w:val="18"/>
          <w:b w:val="1"/>
          <w:bCs w:val="1"/>
          <w:color w:val="auto"/>
        </w:rPr>
        <w:t>EXHIBIT A3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A DEPOSITORY OR A NOMINEE OF A DEPOSITORY, WHICH MAY BE TREATED BY THE COMPANY, THE TRUSTEE AND ANY AGENT THEREOF AS OWNER AND HOLDER OF THIS SECURITY FOR ALL PURPOSES. THIS GLOBAL SECURITY IS EXCHANGEABLE FOR SECURITIES REGISTERED IN THE NAME OF A PERSON OTHER THAN THE DEPOSITORY OR ITS NOMINEE ONLY IN THE LIMITED CIRCUMSTANCES HEREINAFTER DESCRIBED AND MAY NOT BE TRANSFERRED EXCEPT AS A WHOLE BY THE DEPOSITORY TO A NOMINEE OF THE DEPOSITORY OR BY A NOMINEE OF THE DEPOSITORY TO THE DEPOSITORY.</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THIS SECURITY IS PRESENTED BY AN AUTHORIZED REPRESENTATIVE OF THE DEPOSITORY TRUST COMPANY, A NEW YORK CORPORATION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6" w:name="page97"/>
    <w:bookmarkEnd w:id="96"/>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PLEDGE OR OTHERWISE TRANSFER SUCH SECURITY, PRIOR TO THE DATE (THE “RESALE RESTRICTION TERMINATION DATE”) THAT IS [IN THE CASE OF RULE 144A GLOBAL NOTES: ONE YEAR AFTER THE LATER OF THE ISSUE DATE HEREOF OR ANY OTHER ISSUE DATE IN RESPECT OF A FURTHER ISSUANCE OF SECURITIES OF THE SAME SERIES AND THE LAST DATE ON WHICH KIMBERLY-CLARK CORPORATION OR ANY AFFILIATE OF KIMBERLY-CLARK CORPORATION WAS THE OWNER OF THIS SECURITY (OR ANY PREDECESSOR OF SUCH SECURITY), ONLY (A) TO KIMBERLY-CLARK CORPORATION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w:t>
      </w:r>
    </w:p>
    <w:p>
      <w:pPr>
        <w:spacing w:after="0" w:line="198" w:lineRule="exact"/>
        <w:rPr>
          <w:sz w:val="20"/>
          <w:szCs w:val="20"/>
          <w:color w:val="auto"/>
        </w:rPr>
      </w:pPr>
    </w:p>
    <w:p>
      <w:pPr>
        <w:jc w:val="both"/>
        <w:ind w:firstLine="8"/>
        <w:spacing w:after="0" w:line="250" w:lineRule="auto"/>
        <w:tabs>
          <w:tab w:leader="none" w:pos="33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[IN THE CASE OF REGULATION S NOTES: 40 DAYS AFTER THE LATER OF THE ISSUE DATE HEREOF OR ANY OTHER ISSUE DATE IN RESPECT OF A FURTHER ISSUANCE OF SECURITIES OF THE SAME SERIES AND THE DATE ON WHICH THIS SECURITY (OR ANY PREDECESSOR OF SUCH SECURITY) WAS FIRST OFFERED TO PERSONS OTHER THAN DISTRIBUTORS (AS DEFINED IN RULE 902 OF REGULATION S) IN RELIANCE ON REGULATION S, ONLY (A) TO KIMBERLY-CLARK CORPORATION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 (E) 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PROVIDED THAT PRIOR TO THE RESALE RESTRICTION TERMINATION DATE, THE HOLDER AGREES ON ITS OWN BEHALF AND ON BEHALF OF ANY INVESTOR ACCOUNT FOR WHICH IT HAS PURCHASED SECURITIES, TO NOT OFFER, SELL, PLEDGE OR OTHERWISE TRANSFER SUCH SECURITY TO A U.S. PERSON OR FOR THE ACCOUNT OR BENEFIT OF A U.S. PERSON.]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BY ITS ACQUISITION HEREOF, THE HOLDER HEREOF AGREES THAT (A) IT IS NOT, AND WILL NOT BECOME (I) AN “EMPLOYEE BENEFIT PLAN” (AS DEFINED IN SECTION 3(3) OF THE EMPLOYEE RETIREMENT INCOME SECURITY ACT OF 1974, AS AMENDED (“ERISA”)) THAT IS SUBJECT TO TITLE I OF ERISA, (II) A PLAN DESCRIBED IN SECTION 4975(E)(1) OF THE INTERNAL REVENUE CODE OF 1986, AS AMENDED (THE “CODE”), THAT IS SUBJECT TO SECTION 4975 OF THE CODE, (III) A PLAN, INDIVIDUAL RETIREMENT ACCOUNT OR OTHER ARRANGEMENT THAT IS SUBJECT TO THE PROVISIONS OF ANY FEDERAL, STATE, LOCAL, NON-U.S. OR OTHER LAWS, RULES OR REGULATIONS THAT ARE SIMILAR TO SUCH PROVISIONS OF ERISA OR THE CODE (SUCH LAWS, COLLECTIVELY, “SIMILAR LAWS”) OR (IV) AN ENTITY OR ACCOUNT WHOSE UNDERLYING ASSETS ARE CONSIDERED TO INCLUDE THE ASSETS OF ANY SUCH PLAN OR ARRANGEMENT DESCRIBED IN (I), (II) OR (III) AND (B) ITS PURCHASE AND HOLDING OF THIS SECURITY, OR INTEREST THEREIN, WILL NOT CONSTITUTE OR RESULT IN A NON-EXEMPT PROHIBITED TRANSACTION UNDER SECTION 406 OF ERISA AND/OR SECTION 4975 OF THE CODE OR A VIOLATION OF ANY SIMILAR LAWS.</w:t>
      </w:r>
    </w:p>
    <w:p>
      <w:pPr>
        <w:spacing w:after="0" w:line="194"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[BY ITS ACQUISITION HEREOF, THE HOLDER HEREOF REPRESENTS THAT IT IS NOT A U.S. PERSON NOR IS IT PURCHASING FOR THE ACCOUNT OF A U.S. PERSON AND IS ACQUIRING THIS SECURITY IN AN OFFSHORE TRANSACTION IN ACCORDANCE WITH REGULATION S UNDER THE SECURITIES ACT.]</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7830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49"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Applies to Regulation S Notes only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No. [A-[</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 S-[</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p>
      <w:pPr>
        <w:spacing w:after="0" w:line="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CUSIP No. [494368 CH4 (144A) / U49436 AH8 (Reg S)] PRINCIPAL AMOUNT: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ISIN No. [US494368CH42 (144A) / USU49436AH88 (Reg S)]</w:t>
      </w:r>
    </w:p>
    <w:p>
      <w:pPr>
        <w:spacing w:after="0" w:line="200" w:lineRule="exact"/>
        <w:rPr>
          <w:sz w:val="20"/>
          <w:szCs w:val="20"/>
          <w:color w:val="auto"/>
        </w:rPr>
      </w:pPr>
    </w:p>
    <w:p>
      <w:pPr>
        <w:spacing w:after="0" w:line="22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5.450% NOTES DUE OCTOBER 29, 2031</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Kimberly-Clark Corporation, a corporation duly incorporated and existing under the laws of the State of Delaware (hereinafter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corporation under the Indenture hereinafter referred to), for value received, hereby promises to pay to CEDE &amp; CO., or registered assigns, the principal sum of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on October 29, 2031, and to pay interest thereon from October 29, 2026, or from the most recent Interest Payment Date to which interest has been paid or duly provided for semi-annually on April 29 and October 29 of each year, commencing April 29, 2027, at the rate of 5.450% per annum, until the principal hereof is paid or made available for payment. The interest so payable, and punctually paid or duly provided for, on any Interest Payment Date will, as provided in the Indenture, be paid to the Person in whose name this Security (or one or more Predecessor Securities) is registered at the close of business on the Regular Record Date for such interest, which shall be April 14 and October 14 (whether or not a Business Day), as the case may be, next preceding such Interest Payment Date. All references in this Security to any interest or other amount payable on or with respect to this Security will be deemed to include Additional Interest pursuant to the Registration Rights Agreement, if any. Any amounts of Additional Interest due will be payable in cash on the same original Interest Payment Dates as interest on this Security is payable.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interest not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the Indenture.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or pdf or other electronically imaged (including, without limitation, DocuSign or AdobeSign) signature, this Security shall not be entitled to any benefit under the Indenture or be valid or obligatory for any purpose.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99" w:name="page100"/>
    <w:bookmarkEnd w:id="99"/>
    <w:p>
      <w:pPr>
        <w:ind w:left="660"/>
        <w:spacing w:after="0"/>
        <w:rPr>
          <w:sz w:val="20"/>
          <w:szCs w:val="20"/>
          <w:color w:val="auto"/>
        </w:rPr>
      </w:pPr>
      <w:r>
        <w:rPr>
          <w:rFonts w:ascii="Times New Roman" w:cs="Times New Roman" w:eastAsia="Times New Roman" w:hAnsi="Times New Roman"/>
          <w:sz w:val="17"/>
          <w:szCs w:val="17"/>
          <w:color w:val="auto"/>
        </w:rPr>
        <w:t>IN WITNESS WHEREOF, the Company has caused this instrument to be duly executed under its corporate seal.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29,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AUTHENTICATION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series designated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 referred to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within-mentioned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successor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color w:val="auto"/>
        </w:rPr>
        <w:t>[Reverse of Note]</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5.450% NOTES DUE OCTOBER 29, 2031</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issued and to be issued in one or more series under a First Amended and Restated Indenture, dated as of March 1, 1988, as amended or supplemented from time to time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The Bank of New York Mellon Trust Company, N.A., as successor trustee and U.S. Bank Trust Company, National Association, as successor trustee in respect of the Future Notes (as defined in the Eighth Supplemental Indenture dated as of October 27, 2021)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$1,250,000,000.</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Prior to September 29, 2031 (one month prior to the maturity date of the Securities) (the “</w:t>
      </w:r>
      <w:r>
        <w:rPr>
          <w:rFonts w:ascii="Times New Roman" w:cs="Times New Roman" w:eastAsia="Times New Roman" w:hAnsi="Times New Roman"/>
          <w:sz w:val="18"/>
          <w:szCs w:val="18"/>
          <w:u w:val="single" w:color="auto"/>
          <w:color w:val="auto"/>
        </w:rPr>
        <w:t>Measurement Date</w:t>
      </w:r>
      <w:r>
        <w:rPr>
          <w:rFonts w:ascii="Times New Roman" w:cs="Times New Roman" w:eastAsia="Times New Roman" w:hAnsi="Times New Roman"/>
          <w:sz w:val="18"/>
          <w:szCs w:val="18"/>
          <w:color w:val="auto"/>
        </w:rPr>
        <w:t>”), the Company may redeem the Securities at its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the Securities matured on the Measurement Date) on a semi-annual basis (assuming a 360-day year consisting of twelve 30-day months) at the Treasury Rate plus 10 basis points less (b) interest accrued to, but excluding, the Redemption Date, and</w:t>
      </w:r>
    </w:p>
    <w:p>
      <w:pPr>
        <w:spacing w:after="0" w:line="3" w:lineRule="exact"/>
        <w:rPr>
          <w:sz w:val="20"/>
          <w:szCs w:val="20"/>
          <w:color w:val="auto"/>
        </w:rPr>
      </w:pPr>
    </w:p>
    <w:p>
      <w:pPr>
        <w:jc w:val="both"/>
        <w:ind w:firstLine="8"/>
        <w:spacing w:after="0" w:line="253" w:lineRule="auto"/>
        <w:tabs>
          <w:tab w:leader="none" w:pos="28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Securities to be redeemed, plus, in either case, accrued and unpaid interest thereon to, but excluding, the Redemption Date. On or after the Measurement Date, the Company may redeem the Securities, in whole or in part, at any time and from time to time, at a Redemption Price equal to 100% of the principal amount of the Securities being redeemed plus accrued and unpaid interest thereon to, but excluding, the Redemption Date.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in accordance with the following two paragraphs.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will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8"/>
          <w:szCs w:val="18"/>
          <w:u w:val="single" w:color="auto"/>
          <w:color w:val="auto"/>
        </w:rPr>
        <w:t>H.15</w:t>
      </w:r>
      <w:r>
        <w:rPr>
          <w:rFonts w:ascii="Times New Roman" w:cs="Times New Roman" w:eastAsia="Times New Roman" w:hAnsi="Times New Roman"/>
          <w:sz w:val="18"/>
          <w:szCs w:val="18"/>
          <w:color w:val="auto"/>
        </w:rPr>
        <w:t>”) under the caption “U.S. government securities — Treasury constant maturities — Nominal” (or any successor caption or heading) (“</w:t>
      </w:r>
      <w:r>
        <w:rPr>
          <w:rFonts w:ascii="Times New Roman" w:cs="Times New Roman" w:eastAsia="Times New Roman" w:hAnsi="Times New Roman"/>
          <w:sz w:val="18"/>
          <w:szCs w:val="18"/>
          <w:u w:val="single" w:color="auto"/>
          <w:color w:val="auto"/>
        </w:rPr>
        <w:t>H.15 TCM</w:t>
      </w:r>
      <w:r>
        <w:rPr>
          <w:rFonts w:ascii="Times New Roman" w:cs="Times New Roman" w:eastAsia="Times New Roman" w:hAnsi="Times New Roman"/>
          <w:sz w:val="18"/>
          <w:szCs w:val="18"/>
          <w:color w:val="auto"/>
        </w:rPr>
        <w:t>”). In determining the Treasury Rate, the Company will select, as applicable: (1) the yield for the Treasury constant maturity on H.15 exactly equal to the period from the Redemption Date to the Measurement Date (the “</w:t>
      </w:r>
      <w:r>
        <w:rPr>
          <w:rFonts w:ascii="Times New Roman" w:cs="Times New Roman" w:eastAsia="Times New Roman" w:hAnsi="Times New Roman"/>
          <w:sz w:val="18"/>
          <w:szCs w:val="18"/>
          <w:u w:val="single" w:color="auto"/>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Measurement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or any successor designation or publication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Measurement Date, as applicable. If there is no United States Treasury security maturing on the Measurement Date but there are two or more United States Treasury securities with a maturity date equally distant from the Measurement Date, one with a maturity date preceding the Measurement Date and one with a maturity date following the Measurement Date, the Company will select the United States Treasury security with a maturity date preceding the Measurement Date. If there are two or more United States Treasury securities maturing on the Measurement Date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Notice of any redemption, other than any Special Mandatory Redemption, will be mailed or electronically delivered (or otherwise transmitted in accordance with the Depository’s procedures) at least 10 days but not more than 60 days before the Redemption Date to each Holder of Securities to be redeemed. Notice of any redemption of the Securities, other than any Special Mandatory Redemption, may, at the Company’s discretion, be given subject to one or more conditions precedent, including, but not limited to, completion of a corporate transaction. If such redemption is so subject to satisfaction of one or more conditions precedent, such notice shall describe each such condition, and, if applicable, will state that at the Company’s discretion, the Redemption Date may be delayed (including more than 60 days after the notice of redemption was given) until such time as any or all such conditions precedent will be satisfied (or waived by the Company in the Company’s sole discretion), or such notice may be rescinded in the event that any or all such conditions shall not have been satisfied or otherwise waived by the Redemption Date, or by the Redemption Date as so delayed. If any such redemption has been rescinded or delayed, the Company will provide written notice to the Trustee prior to the close of business two business days before the Redemption Date and, upon receipt, the Trustee will provide such notice to each Holder of the Securities. Once notice of redemption is mailed or sent, subject to the satisfaction or waiver (in the Company’s sole discretion) of any conditions precedent provided in the notice of redemption, the Securities called for redemption will become due and payable on the Redemption Date and at the applicable Redemption Price, plus accrued and unpaid interest to the Redemption Date.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case of a partial redemption, selection of the Securities for redemption will be made pro rata, by lot or by such other method as the Trustee in its sole discretion deems appropriate and fair. No Securities of a principal amount of $2,000 or less will be redeemed in part. If any Security is to be redeemed in part only, the notice of redemption that relates to the Security will state the portion of the principal amount of the Security to be redeemed. A new Security in a principal amount equal to the unredeemed portion of the Security will be issued in the name of the Holder of the Security upon surrender for cancellation of the original Security. For so long as the Securities are held by DTC (or another depositary), the redemption of the Securities, including the allocation of the Redemption Price among beneficial owners of the Securities, shall be done in accordance with the policies and procedures of the depositary.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Securities or portions thereof called for redemption.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will not be entitled to any sinking fund.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as defined in the Indenture, with respect to Securities of this series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entered into an Agreement and Plan of Merger, dated as of November 2, 2025 (as amended, supplemented or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Kenvue Inc., a Delaware corporation (“</w:t>
      </w:r>
      <w:r>
        <w:rPr>
          <w:rFonts w:ascii="Times New Roman" w:cs="Times New Roman" w:eastAsia="Times New Roman" w:hAnsi="Times New Roman"/>
          <w:sz w:val="18"/>
          <w:szCs w:val="18"/>
          <w:u w:val="single" w:color="auto"/>
          <w:color w:val="auto"/>
        </w:rPr>
        <w:t>Kenvue</w:t>
      </w:r>
      <w:r>
        <w:rPr>
          <w:rFonts w:ascii="Times New Roman" w:cs="Times New Roman" w:eastAsia="Times New Roman" w:hAnsi="Times New Roman"/>
          <w:sz w:val="18"/>
          <w:szCs w:val="18"/>
          <w:color w:val="auto"/>
        </w:rPr>
        <w:t>”), Vesta Sub I, Inc., a Delaware corporation and a direct wholly owned subsidiary of the Company (“</w:t>
      </w:r>
      <w:r>
        <w:rPr>
          <w:rFonts w:ascii="Times New Roman" w:cs="Times New Roman" w:eastAsia="Times New Roman" w:hAnsi="Times New Roman"/>
          <w:sz w:val="18"/>
          <w:szCs w:val="18"/>
          <w:u w:val="single" w:color="auto"/>
          <w:color w:val="auto"/>
        </w:rPr>
        <w:t>First Merger Sub</w:t>
      </w:r>
      <w:r>
        <w:rPr>
          <w:rFonts w:ascii="Times New Roman" w:cs="Times New Roman" w:eastAsia="Times New Roman" w:hAnsi="Times New Roman"/>
          <w:sz w:val="18"/>
          <w:szCs w:val="18"/>
          <w:color w:val="auto"/>
        </w:rPr>
        <w:t>”), and Vesta Sub II, LLC, a Delaware limited liability company and a direct wholly owned subsidiary of the Company (“</w:t>
      </w:r>
      <w:r>
        <w:rPr>
          <w:rFonts w:ascii="Times New Roman" w:cs="Times New Roman" w:eastAsia="Times New Roman" w:hAnsi="Times New Roman"/>
          <w:sz w:val="18"/>
          <w:szCs w:val="18"/>
          <w:u w:val="single" w:color="auto"/>
          <w:color w:val="auto"/>
        </w:rPr>
        <w:t>Second Merger Sub</w:t>
      </w:r>
      <w:r>
        <w:rPr>
          <w:rFonts w:ascii="Times New Roman" w:cs="Times New Roman" w:eastAsia="Times New Roman" w:hAnsi="Times New Roman"/>
          <w:sz w:val="18"/>
          <w:szCs w:val="18"/>
          <w:color w:val="auto"/>
        </w:rPr>
        <w:t>”). Under the terms of the Merger Agreement, First Merger Sub will merge with and into Kenvue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Kenvue surviving as a direct wholly owned subsidiary of the Company (the “</w:t>
      </w:r>
      <w:r>
        <w:rPr>
          <w:rFonts w:ascii="Times New Roman" w:cs="Times New Roman" w:eastAsia="Times New Roman" w:hAnsi="Times New Roman"/>
          <w:sz w:val="18"/>
          <w:szCs w:val="18"/>
          <w:u w:val="single" w:color="auto"/>
          <w:color w:val="auto"/>
        </w:rPr>
        <w:t>Initial Surviving Company</w:t>
      </w:r>
      <w:r>
        <w:rPr>
          <w:rFonts w:ascii="Times New Roman" w:cs="Times New Roman" w:eastAsia="Times New Roman" w:hAnsi="Times New Roman"/>
          <w:sz w:val="18"/>
          <w:szCs w:val="18"/>
          <w:color w:val="auto"/>
        </w:rPr>
        <w:t>”), and immediately following the First Merger, and as part of the same overall transaction as the First Merger, the Initial Surviving Company will merge with and into Second Merger Sub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with Second Merger Sub surviving the Second Merger as a direct wholly owned subsidiary of the Company.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(i) the First Merger has not been consummated prior to the date that is five (5) business days after the later of (x) May 31, 2027 or (y) any later date as the parties to the Merger Agreement may agree as the “Outside Date” thereunder or (ii) the Company notifies the Trustee that the Company will not pursue the consummation of the First Merger (each of (i) and (ii), a “</w:t>
      </w:r>
      <w:r>
        <w:rPr>
          <w:rFonts w:ascii="Times New Roman" w:cs="Times New Roman" w:eastAsia="Times New Roman" w:hAnsi="Times New Roman"/>
          <w:sz w:val="18"/>
          <w:szCs w:val="18"/>
          <w:u w:val="single" w:color="auto"/>
          <w:color w:val="auto"/>
        </w:rPr>
        <w:t>Special Mandatory Redemption Trigger</w:t>
      </w:r>
      <w:r>
        <w:rPr>
          <w:rFonts w:ascii="Times New Roman" w:cs="Times New Roman" w:eastAsia="Times New Roman" w:hAnsi="Times New Roman"/>
          <w:sz w:val="18"/>
          <w:szCs w:val="18"/>
          <w:color w:val="auto"/>
        </w:rPr>
        <w:t>”), then the Company will be required to redeem all outstanding Securities (such redemption, the “</w:t>
      </w:r>
      <w:r>
        <w:rPr>
          <w:rFonts w:ascii="Times New Roman" w:cs="Times New Roman" w:eastAsia="Times New Roman" w:hAnsi="Times New Roman"/>
          <w:sz w:val="18"/>
          <w:szCs w:val="18"/>
          <w:u w:val="single" w:color="auto"/>
          <w:color w:val="auto"/>
        </w:rPr>
        <w:t>Special Mandatory Redemption</w:t>
      </w:r>
      <w:r>
        <w:rPr>
          <w:rFonts w:ascii="Times New Roman" w:cs="Times New Roman" w:eastAsia="Times New Roman" w:hAnsi="Times New Roman"/>
          <w:sz w:val="18"/>
          <w:szCs w:val="18"/>
          <w:color w:val="auto"/>
        </w:rPr>
        <w:t>”) at a special mandatory Redemption Price equal to 101% of the aggregate principal amount of the Securities, plus accrued and unpaid interest, if any, to, but not including, the Special Mandatory Redemption Date (the “</w:t>
      </w:r>
      <w:r>
        <w:rPr>
          <w:rFonts w:ascii="Times New Roman" w:cs="Times New Roman" w:eastAsia="Times New Roman" w:hAnsi="Times New Roman"/>
          <w:sz w:val="18"/>
          <w:szCs w:val="18"/>
          <w:u w:val="single" w:color="auto"/>
          <w:color w:val="auto"/>
        </w:rPr>
        <w:t>Special Mandatory Redemption Price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that the Company becomes obligated to redeem the Securities pursuant to the Special Mandatory Redemption, the Company will promptly, and in any event not more than ten (10) business days after the date on which a Special Mandatory Redemption Trigger occurred, deliver notice to the Trustee of the Special Mandatory Redemption and the date upon which the Securities will be redeemed (the “</w:t>
      </w:r>
      <w:r>
        <w:rPr>
          <w:rFonts w:ascii="Times New Roman" w:cs="Times New Roman" w:eastAsia="Times New Roman" w:hAnsi="Times New Roman"/>
          <w:sz w:val="18"/>
          <w:szCs w:val="18"/>
          <w:u w:val="single" w:color="auto"/>
          <w:color w:val="auto"/>
        </w:rPr>
        <w:t>Special Mandatory Redemption Date</w:t>
      </w:r>
      <w:r>
        <w:rPr>
          <w:rFonts w:ascii="Times New Roman" w:cs="Times New Roman" w:eastAsia="Times New Roman" w:hAnsi="Times New Roman"/>
          <w:sz w:val="18"/>
          <w:szCs w:val="18"/>
          <w:color w:val="auto"/>
        </w:rPr>
        <w:t>,” which date shall be no earlier than five (5) days and no later than thirty (30) days following the date of such notice, unless some longer minimum period may be required by DTC (or any successor depositary selected or approved by the Company)). The Trustee will then promptly mail, or electronically deliver, according to the procedures of DTC, such notice of Special Mandatory Redemption to each Holder of the Securities to be redeemed. Unless the Company defaults in payment of the Special Mandatory Redemption Price, on and after such Special Mandatory Redemption Date, interest will cease to accrue on the Securities to be redeemed.</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any series of the Securities that are due and payable on Interest Payment Dates falling on or prior to the Special Mandatory Redemption Date will be payable on such Interest Payment Dates to the Holders as of the close of business on the Regular Record Dates for the payment of interest in accordance with the Securities and the Indenture.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consummation of the First Merger, the foregoing provisions regarding the Special Mandatory Redemption will cease to apply. For purposes of the foregoing, the First Merger will be deemed consummated if the closing of the First Merger as contemplated under the Merger Agreement occurs, including after giving effect to any amendments, modifications or waivers to the Merger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a majority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(a) the entire indebtedness on this Security and (b) certain restrictive covenants and certain Events of Default, upon compliance by the Company with certain conditions set forth therein, which provisions apply to this Security.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due presentment for registration of transfer of this Security at the office or agency of the Trustee maintained for that purpose in St. Paul, Minnesota, a new Security or Securities of this series in authorized denominations for an equal aggregate principal amount will be issued to the transferee in exchange herefor, as provided in the Indenture and subject to the limitations provided therein and to the limitations described below, without charge except for any tax or other governmental charge imposed in connection therewith.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Security is exchangeable for definitive Securities in registered form only if (x) the Depository notifies the Company that it is unwilling or unable to continue as Depository for this Security or if at any time the Depository ceases to be a clearing agency registered under the Securities Exchange Act of 1934, as amended, or (y) the Company in its sole discretion determines that this Security shall be exchangeable for definitive Securities in registered form and notifies the Trustee thereof. If this Security is exchangeable pursuant to the preceding sentence, it shall be exchangeable for definitive Securities in registered form in denominations of $2,000 and any integral multiple of $1,000 in excess thereof, registered in such names as such Depository shall direct, bearing interest at the same rate, having the same date of issuance, redemption provisions, Stated Maturity and other terms and of differing denominations aggregating a like amount.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Security may not be transferred except as a whole by the Depository to a nominee of the Depository, or by a nominee of the Depository to the Depository or another nominee of the Depository, or by the Depository or any such nominee to a successor of the Depository or a nominee of such successor. Except as provided above, owners of beneficial interests in this global Security will not be entitled to receive physical delivery of Securities in definitive form and will not be considered the Holders hereof for any purpose under the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premium, if any) and interest on this Security at the times, place and rate, and in the coin or currency, herein prescribed, except that in the event the Company deposits money or Government Obligations as provided in Sections 402 or 1006 of the Indenture, such payments will be made only from proceeds of such money or Government Obligations.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premium, if any) or the interest on this Security, or for any claim based hereon, or otherwise in respect hereof, or based on or in respect of the Indenture or any indenture supplemental thereto, against any incorporator, stockholder, officer or director, as such, past, present or future, of the Company or any successor corporation, whether by virtue of any constitution, statute or rule of law, or by the enforcement of any assessment or penalty or otherwise, all such liability being, by the acceptance hereof and as part of the consideration for the issuance hereof, expressly waived and released.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Anything in the Indenture or the Security of this series to the contrary notwithstanding, for the purposes of the transactions contemplated by the Indenture relating to the Security of this series, the Security of this series and any document to be signed in connection with the Indenture or such Security (including the Securities of this series and amendments, supplements, waivers, consents and other modifications, Officers’ Certificates, Company Orders and Opinions of Counsel and other issuance, authentication and delivery documents) or the transactions contemplated hereby may be signed by manual signatures that are scanned, photocopied or faxed or other electronic signatures created on an electronic platform (such as DocuSign) or by digital signature (such as Adobe Sign), in each case that is approved by the Trustee, and contract formations on electronic platforms approved by the Trustee, and the keeping of records in electronic form, are hereby authorized, and each shall be of the same legal effect, validity or enforceability as a manually executed signature in ink or the use of a paper-based recordkeeping system, as the case may be.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in this Security which are defined in the Indenture shall have the meanings assigned to them in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right"/>
        <w:ind w:right="4019"/>
        <w:spacing w:after="0"/>
        <w:rPr>
          <w:sz w:val="20"/>
          <w:szCs w:val="20"/>
          <w:color w:val="auto"/>
        </w:rPr>
      </w:pPr>
      <w:r>
        <w:rPr>
          <w:rFonts w:ascii="Times New Roman" w:cs="Times New Roman" w:eastAsia="Times New Roman" w:hAnsi="Times New Roman"/>
          <w:sz w:val="18"/>
          <w:szCs w:val="18"/>
          <w:b w:val="1"/>
          <w:bCs w:val="1"/>
          <w:color w:val="auto"/>
        </w:rPr>
        <w:t>EXHIBIT A4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A DEPOSITORY OR A NOMINEE OF A DEPOSITORY, WHICH MAY BE TREATED BY THE COMPANY, THE TRUSTEE AND ANY AGENT THEREOF AS OWNER AND HOLDER OF THIS SECURITY FOR ALL PURPOSES. THIS GLOBAL SECURITY IS EXCHANGEABLE FOR SECURITIES REGISTERED IN THE NAME OF A PERSON OTHER THAN THE DEPOSITORY OR ITS NOMINEE ONLY IN THE LIMITED CIRCUMSTANCES HEREINAFTER DESCRIBED AND MAY NOT BE TRANSFERRED EXCEPT AS A WHOLE BY THE DEPOSITORY TO A NOMINEE OF THE DEPOSITORY OR BY A NOMINEE OF THE DEPOSITORY TO THE DEPOSITORY.</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THIS SECURITY IS PRESENTED BY AN AUTHORIZED REPRESENTATIVE OF THE DEPOSITORY TRUST COMPANY, A NEW YORK CORPORATION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7" w:name="page108"/>
    <w:bookmarkEnd w:id="107"/>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PLEDGE OR OTHERWISE TRANSFER SUCH SECURITY, PRIOR TO THE DATE (THE “RESALE RESTRICTION TERMINATION DATE”) THAT IS [IN THE CASE OF RULE 144A GLOBAL NOTES: ONE YEAR AFTER THE LATER OF THE ISSUE DATE HEREOF OR ANY OTHER ISSUE DATE IN RESPECT OF A FURTHER ISSUANCE OF SECURITIES OF THE SAME SERIES AND THE LAST DATE ON WHICH KIMBERLY-CLARK CORPORATION OR ANY AFFILIATE OF KIMBERLY-CLARK CORPORATION WAS THE OWNER OF THIS SECURITY (OR ANY PREDECESSOR OF SUCH SECURITY), ONLY (A) TO KIMBERLY-CLARK CORPORATION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w:t>
      </w:r>
    </w:p>
    <w:p>
      <w:pPr>
        <w:spacing w:after="0" w:line="198" w:lineRule="exact"/>
        <w:rPr>
          <w:sz w:val="20"/>
          <w:szCs w:val="20"/>
          <w:color w:val="auto"/>
        </w:rPr>
      </w:pPr>
    </w:p>
    <w:p>
      <w:pPr>
        <w:jc w:val="both"/>
        <w:ind w:firstLine="8"/>
        <w:spacing w:after="0" w:line="250" w:lineRule="auto"/>
        <w:tabs>
          <w:tab w:leader="none" w:pos="33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[IN THE CASE OF REGULATION S NOTES: 40 DAYS AFTER THE LATER OF THE ISSUE DATE HEREOF OR ANY OTHER ISSUE DATE IN RESPECT OF A FURTHER ISSUANCE OF SECURITIES OF THE SAME SERIES AND THE DATE ON WHICH THIS SECURITY (OR ANY PREDECESSOR OF SUCH SECURITY) WAS FIRST OFFERED TO PERSONS OTHER THAN DISTRIBUTORS (AS DEFINED IN RULE 902 OF REGULATION S) IN RELIANCE ON REGULATION S, ONLY (A) TO KIMBERLY-CLARK CORPORATION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 (E) 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PROVIDED THAT PRIOR TO THE RESALE RESTRICTION TERMINATION DATE, THE HOLDER AGREES ON ITS OWN BEHALF AND ON BEHALF OF ANY INVESTOR ACCOUNT FOR WHICH IT HAS PURCHASED SECURITIES, TO NOT OFFER, SELL, PLEDGE OR OTHERWISE TRANSFER SUCH SECURITY TO A U.S. PERSON OR FOR THE ACCOUNT OR BENEFIT OF A U.S. PERSON.]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BY ITS ACQUISITION HEREOF, THE HOLDER HEREOF AGREES THAT (A) IT IS NOT, AND WILL NOT BECOME (I) AN “EMPLOYEE BENEFIT PLAN” (AS DEFINED IN SECTION 3(3) OF THE EMPLOYEE RETIREMENT INCOME SECURITY ACT OF 1974, AS AMENDED (“ERISA”)) THAT IS SUBJECT TO TITLE I OF ERISA, (II) A PLAN DESCRIBED IN SECTION 4975(E)(1) OF THE INTERNAL REVENUE CODE OF 1986, AS AMENDED (THE “CODE”), THAT IS SUBJECT TO SECTION 4975 OF THE CODE, (III) A PLAN, INDIVIDUAL RETIREMENT ACCOUNT OR OTHER ARRANGEMENT THAT IS SUBJECT TO THE PROVISIONS OF ANY FEDERAL, STATE, LOCAL, NON-U.S. OR OTHER LAWS, RULES OR REGULATIONS THAT ARE SIMILAR TO SUCH PROVISIONS OF ERISA OR THE CODE (SUCH LAWS, COLLECTIVELY, “SIMILAR LAWS”) OR (IV) AN ENTITY OR ACCOUNT WHOSE UNDERLYING ASSETS ARE CONSIDERED TO INCLUDE THE ASSETS OF ANY SUCH PLAN OR ARRANGEMENT DESCRIBED IN (I), (II) OR (III) AND (B) ITS PURCHASE AND HOLDING OF THIS SECURITY, OR INTEREST THEREIN, WILL NOT CONSTITUTE OR RESULT IN A NON-EXEMPT PROHIBITED TRANSACTION UNDER SECTION 406 OF ERISA AND/OR SECTION 4975 OF THE CODE OR A VIOLATION OF ANY SIMILAR LAWS.</w:t>
      </w:r>
    </w:p>
    <w:p>
      <w:pPr>
        <w:spacing w:after="0" w:line="194"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[BY ITS ACQUISITION HEREOF, THE HOLDER HEREOF REPRESENTS THAT IT IS NOT A U.S. PERSON NOR IS IT PURCHASING FOR THE ACCOUNT OF A U.S. PERSON AND IS ACQUIRING THIS SECURITY IN AN OFFSHORE TRANSACTION IN ACCORDANCE WITH REGULATION S UNDER THE SECURITIES ACT.]</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7830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49"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Applies to Regulation S Notes only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t>No. [A-[</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 S-[</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p>
      <w:pPr>
        <w:spacing w:after="0" w:line="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CUSIP No. [494368 CJ0 (144A) / U49436 AJ4 (Reg S)] PRINCIPAL AMOUNT: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ISIN No. [US494368CJ08 (144A) / USU49436AJ45 (Reg S)]</w:t>
      </w:r>
    </w:p>
    <w:p>
      <w:pPr>
        <w:spacing w:after="0" w:line="200" w:lineRule="exact"/>
        <w:rPr>
          <w:sz w:val="20"/>
          <w:szCs w:val="20"/>
          <w:color w:val="auto"/>
        </w:rPr>
      </w:pPr>
    </w:p>
    <w:p>
      <w:pPr>
        <w:spacing w:after="0" w:line="22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5.650% NOTES DUE JANUARY 29, 2034</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Kimberly-Clark Corporation, a corporation duly incorporated and existing under the laws of the State of Delaware (hereinafter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corporation under the Indenture hereinafter referred to), for value received, hereby promises to pay to CEDE &amp; CO., or registered assigns, the principal sum of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on January 29, 2034, and to pay interest thereon from October 29, 2026, or from the most recent Interest Payment Date to which interest has been paid or duly provided for semi-annually on January 29 and July 29 of each year, commencing January 29, 2027, at the rate of 5.650% per annum, until the principal hereof is paid or made available for payment. The interest so payable, and punctually paid or duly provided for, on any Interest Payment Date will, as provided in the Indenture, be paid to the Person in whose name this Security (or one or more Predecessor Securities) is registered at the close of business on the Regular Record Date for such interest, which shall be January 14 and July 14 (whether or not a Business Day), as the case may be, next preceding such Interest Payment Date. All references in this Security to any interest or other amount payable on or with respect to this Security will be deemed to include Additional Interest pursuant to the Registration Rights Agreement, if any. Any amounts of Additional Interest due will be payable in cash on the same original Interest Payment Dates as interest on this Security is payable.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interest not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the Indenture.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or pdf or other electronically imaged (including, without limitation, DocuSign or AdobeSign) signature, this Security shall not be entitled to any benefit under the Indenture or be valid or obligatory for any purpose.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110" w:name="page111"/>
    <w:bookmarkEnd w:id="110"/>
    <w:p>
      <w:pPr>
        <w:ind w:left="660"/>
        <w:spacing w:after="0"/>
        <w:rPr>
          <w:sz w:val="20"/>
          <w:szCs w:val="20"/>
          <w:color w:val="auto"/>
        </w:rPr>
      </w:pPr>
      <w:r>
        <w:rPr>
          <w:rFonts w:ascii="Times New Roman" w:cs="Times New Roman" w:eastAsia="Times New Roman" w:hAnsi="Times New Roman"/>
          <w:sz w:val="17"/>
          <w:szCs w:val="17"/>
          <w:color w:val="auto"/>
        </w:rPr>
        <w:t>IN WITNESS WHEREOF, the Company has caused this instrument to be duly executed under its corporate seal.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29,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AUTHENTICATION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series designated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 referred to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within-mentioned Indenture.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successor Trustee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color w:val="auto"/>
        </w:rPr>
        <w:t>[Reverse of Note]</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5.650% NOTES DUE JANUARY 29, 2034</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issued and to be issued in one or more series under a First Amended and Restated Indenture, dated as of March 1, 1988, as amended or supplemented from time to time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The Bank of New York Mellon Trust Company, N.A., as successor trustee and U.S. Bank Trust Company, National Association, as successor trustee in respect of the Future Notes (as defined in the Eighth Supplemental Indenture dated as of October 27, 2021)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$750,000,000.</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Prior to November 29, 2033 (two months prior to the maturity date of the Securities) (the “</w:t>
      </w:r>
      <w:r>
        <w:rPr>
          <w:rFonts w:ascii="Times New Roman" w:cs="Times New Roman" w:eastAsia="Times New Roman" w:hAnsi="Times New Roman"/>
          <w:sz w:val="18"/>
          <w:szCs w:val="18"/>
          <w:u w:val="single" w:color="auto"/>
          <w:color w:val="auto"/>
        </w:rPr>
        <w:t>Measurement Date</w:t>
      </w:r>
      <w:r>
        <w:rPr>
          <w:rFonts w:ascii="Times New Roman" w:cs="Times New Roman" w:eastAsia="Times New Roman" w:hAnsi="Times New Roman"/>
          <w:sz w:val="18"/>
          <w:szCs w:val="18"/>
          <w:color w:val="auto"/>
        </w:rPr>
        <w:t>”), the Company may redeem the Securities at its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the Securities matured on the Measurement Date) on a semi-annual basis (assuming a 360-day year consisting of twelve 30-day months) at the Treasury Rate plus 15 basis points less (b) interest accrued to, but excluding, the Redemption Date, and</w:t>
      </w:r>
    </w:p>
    <w:p>
      <w:pPr>
        <w:spacing w:after="0" w:line="3" w:lineRule="exact"/>
        <w:rPr>
          <w:sz w:val="20"/>
          <w:szCs w:val="20"/>
          <w:color w:val="auto"/>
        </w:rPr>
      </w:pPr>
    </w:p>
    <w:p>
      <w:pPr>
        <w:jc w:val="both"/>
        <w:ind w:firstLine="8"/>
        <w:spacing w:after="0" w:line="253" w:lineRule="auto"/>
        <w:tabs>
          <w:tab w:leader="none" w:pos="28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Securities to be redeemed, plus, in either case, accrued and unpaid interest thereon to, but excluding, the Redemption Date. On or after the Measurement Date, the Company may redeem the Securities, in whole or in part, at any time and from time to time, at a Redemption Price equal to 100% of the principal amount of the Securities being redeemed plus accrued and unpaid interest thereon to, but excluding, the Redemption Date.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the yield determined by the Company in accordance with the following two paragraphs.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will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8"/>
          <w:szCs w:val="18"/>
          <w:u w:val="single" w:color="auto"/>
          <w:color w:val="auto"/>
        </w:rPr>
        <w:t>H.15</w:t>
      </w:r>
      <w:r>
        <w:rPr>
          <w:rFonts w:ascii="Times New Roman" w:cs="Times New Roman" w:eastAsia="Times New Roman" w:hAnsi="Times New Roman"/>
          <w:sz w:val="18"/>
          <w:szCs w:val="18"/>
          <w:color w:val="auto"/>
        </w:rPr>
        <w:t>”) under the caption “U.S. government securities — Treasury constant maturities — Nominal” (or any successor caption or heading) (“</w:t>
      </w:r>
      <w:r>
        <w:rPr>
          <w:rFonts w:ascii="Times New Roman" w:cs="Times New Roman" w:eastAsia="Times New Roman" w:hAnsi="Times New Roman"/>
          <w:sz w:val="18"/>
          <w:szCs w:val="18"/>
          <w:u w:val="single" w:color="auto"/>
          <w:color w:val="auto"/>
        </w:rPr>
        <w:t>H.15 TCM</w:t>
      </w:r>
      <w:r>
        <w:rPr>
          <w:rFonts w:ascii="Times New Roman" w:cs="Times New Roman" w:eastAsia="Times New Roman" w:hAnsi="Times New Roman"/>
          <w:sz w:val="18"/>
          <w:szCs w:val="18"/>
          <w:color w:val="auto"/>
        </w:rPr>
        <w:t>”). In determining the Treasury Rate, the Company will select, as applicable: (1) the yield for the Treasury constant maturity on H.15 exactly equal to the period from the Redemption Date to the Measurement Date (the “</w:t>
      </w:r>
      <w:r>
        <w:rPr>
          <w:rFonts w:ascii="Times New Roman" w:cs="Times New Roman" w:eastAsia="Times New Roman" w:hAnsi="Times New Roman"/>
          <w:sz w:val="18"/>
          <w:szCs w:val="18"/>
          <w:u w:val="single" w:color="auto"/>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Measurement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or any successor designation or publication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Measurement Date, as applicable. If there is no United States Treasury security maturing on the Measurement Date but there are two or more United States Treasury securities with a maturity date equally distant from the Measurement Date, one with a maturity date preceding the Measurement Date and one with a maturity date following the Measurement Date, the Company will select the United States Treasury security with a maturity date preceding the Measurement Date. If there are two or more United States Treasury securities maturing on the Measurement Date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Notice of any redemption, other than any Special Mandatory Redemption, will be mailed or electronically delivered (or otherwise transmitted in accordance with the Depository’s procedures) at least 10 days but not more than 60 days before the Redemption Date to each Holder of Securities to be redeemed. Notice of any redemption of the Securities, other than any Special Mandatory Redemption, may, at the Company’s discretion, be given subject to one or more conditions precedent, including, but not limited to, completion of a corporate transaction. If such redemption is so subject to satisfaction of one or more conditions precedent, such notice shall describe each such condition, and, if applicable, will state that at the Company’s discretion, the Redemption Date may be delayed (including more than 60 days after the notice of redemption was given) until such time as any or all such conditions precedent will be satisfied (or waived by the Company in the Company’s sole discretion), or such notice may be rescinded in the event that any or all such conditions shall not have been satisfied or otherwise waived by the Redemption Date, or by the Redemption Date as so delayed. If any such redemption has been rescinded or delayed, the Company will provide written notice to the Trustee prior to the close of business two business days before the Redemption Date and, upon receipt, the Trustee will provide such notice to each Holder of the Securities. Once notice of redemption is mailed or sent, subject to the satisfaction or waiver (in the Company’s sole discretion) of any conditions precedent provided in the notice of redemption, the Securities called for redemption will become due and payable on the Redemption Date and at the applicable Redemption Price, plus accrued and unpaid interest to the Redemption Date.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case of a partial redemption, selection of the Securities for redemption will be made pro rata, by lot or by such other method as the Trustee in its sole discretion deems appropriate and fair. No Securities of a principal amount of $2,000 or less will be redeemed in part. If any Security is to be redeemed in part only, the notice of redemption that relates to the Security will state the portion of the principal amount of the Security to be redeemed. A new Security in a principal amount equal to the unredeemed portion of the Security will be issued in the name of the Holder of the Security upon surrender for cancellation of the original Security. For so long as the Securities are held by DTC (or another depositary), the redemption of the Securities, including the allocation of the Redemption Price among beneficial owners of the Securities, shall be done in accordance with the policies and procedures of the depositary.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Securities or portions thereof called for redemption.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will not be entitled to any sinking fund.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as defined in the Indenture, with respect to Securities of this series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entered into an Agreement and Plan of Merger, dated as of November 2, 2025 (as amended, supplemented or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Kenvue Inc., a Delaware corporation (“</w:t>
      </w:r>
      <w:r>
        <w:rPr>
          <w:rFonts w:ascii="Times New Roman" w:cs="Times New Roman" w:eastAsia="Times New Roman" w:hAnsi="Times New Roman"/>
          <w:sz w:val="18"/>
          <w:szCs w:val="18"/>
          <w:u w:val="single" w:color="auto"/>
          <w:color w:val="auto"/>
        </w:rPr>
        <w:t>Kenvue</w:t>
      </w:r>
      <w:r>
        <w:rPr>
          <w:rFonts w:ascii="Times New Roman" w:cs="Times New Roman" w:eastAsia="Times New Roman" w:hAnsi="Times New Roman"/>
          <w:sz w:val="18"/>
          <w:szCs w:val="18"/>
          <w:color w:val="auto"/>
        </w:rPr>
        <w:t>”), Vesta Sub I, Inc., a Delaware corporation and a direct wholly owned subsidiary of the Company (“</w:t>
      </w:r>
      <w:r>
        <w:rPr>
          <w:rFonts w:ascii="Times New Roman" w:cs="Times New Roman" w:eastAsia="Times New Roman" w:hAnsi="Times New Roman"/>
          <w:sz w:val="18"/>
          <w:szCs w:val="18"/>
          <w:u w:val="single" w:color="auto"/>
          <w:color w:val="auto"/>
        </w:rPr>
        <w:t>First Merger Sub</w:t>
      </w:r>
      <w:r>
        <w:rPr>
          <w:rFonts w:ascii="Times New Roman" w:cs="Times New Roman" w:eastAsia="Times New Roman" w:hAnsi="Times New Roman"/>
          <w:sz w:val="18"/>
          <w:szCs w:val="18"/>
          <w:color w:val="auto"/>
        </w:rPr>
        <w:t>”), and Vesta Sub II, LLC, a Delaware limited liability company and a direct wholly owned subsidiary of the Company (“</w:t>
      </w:r>
      <w:r>
        <w:rPr>
          <w:rFonts w:ascii="Times New Roman" w:cs="Times New Roman" w:eastAsia="Times New Roman" w:hAnsi="Times New Roman"/>
          <w:sz w:val="18"/>
          <w:szCs w:val="18"/>
          <w:u w:val="single" w:color="auto"/>
          <w:color w:val="auto"/>
        </w:rPr>
        <w:t>Second Merger Sub</w:t>
      </w:r>
      <w:r>
        <w:rPr>
          <w:rFonts w:ascii="Times New Roman" w:cs="Times New Roman" w:eastAsia="Times New Roman" w:hAnsi="Times New Roman"/>
          <w:sz w:val="18"/>
          <w:szCs w:val="18"/>
          <w:color w:val="auto"/>
        </w:rPr>
        <w:t>”). Under the terms of the Merger Agreement, First Merger Sub will merge with and into Kenvue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Kenvue surviving as a direct wholly owned subsidiary of the Company (the “</w:t>
      </w:r>
      <w:r>
        <w:rPr>
          <w:rFonts w:ascii="Times New Roman" w:cs="Times New Roman" w:eastAsia="Times New Roman" w:hAnsi="Times New Roman"/>
          <w:sz w:val="18"/>
          <w:szCs w:val="18"/>
          <w:u w:val="single" w:color="auto"/>
          <w:color w:val="auto"/>
        </w:rPr>
        <w:t>Initial Surviving Company</w:t>
      </w:r>
      <w:r>
        <w:rPr>
          <w:rFonts w:ascii="Times New Roman" w:cs="Times New Roman" w:eastAsia="Times New Roman" w:hAnsi="Times New Roman"/>
          <w:sz w:val="18"/>
          <w:szCs w:val="18"/>
          <w:color w:val="auto"/>
        </w:rPr>
        <w:t>”), and immediately following the First Merger, and as part of the same overall transaction as the First Merger, the Initial Surviving Company will merge with and into Second Merger Sub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with Second Merger Sub surviving the Second Merger as a direct wholly owned subsidiary of the Company.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(i) the First Merger has not been consummated prior to the date that is five (5) business days after the later of (x) May 31, 2027 or (y) any later date as the parties to the Merger Agreement may agree as the “Outside Date” thereunder or (ii) the Company notifies the Trustee that the Company will not pursue the consummation of the First Merger (each of (i) and (ii), a “</w:t>
      </w:r>
      <w:r>
        <w:rPr>
          <w:rFonts w:ascii="Times New Roman" w:cs="Times New Roman" w:eastAsia="Times New Roman" w:hAnsi="Times New Roman"/>
          <w:sz w:val="18"/>
          <w:szCs w:val="18"/>
          <w:u w:val="single" w:color="auto"/>
          <w:color w:val="auto"/>
        </w:rPr>
        <w:t>Special Mandatory Redemption Trigger</w:t>
      </w:r>
      <w:r>
        <w:rPr>
          <w:rFonts w:ascii="Times New Roman" w:cs="Times New Roman" w:eastAsia="Times New Roman" w:hAnsi="Times New Roman"/>
          <w:sz w:val="18"/>
          <w:szCs w:val="18"/>
          <w:color w:val="auto"/>
        </w:rPr>
        <w:t>”), then the Company will be required to redeem all outstanding Securities (such redemption, the “</w:t>
      </w:r>
      <w:r>
        <w:rPr>
          <w:rFonts w:ascii="Times New Roman" w:cs="Times New Roman" w:eastAsia="Times New Roman" w:hAnsi="Times New Roman"/>
          <w:sz w:val="18"/>
          <w:szCs w:val="18"/>
          <w:u w:val="single" w:color="auto"/>
          <w:color w:val="auto"/>
        </w:rPr>
        <w:t>Special Mandatory Redemption</w:t>
      </w:r>
      <w:r>
        <w:rPr>
          <w:rFonts w:ascii="Times New Roman" w:cs="Times New Roman" w:eastAsia="Times New Roman" w:hAnsi="Times New Roman"/>
          <w:sz w:val="18"/>
          <w:szCs w:val="18"/>
          <w:color w:val="auto"/>
        </w:rPr>
        <w:t>”) at a special mandatory Redemption Price equal to 101% of the aggregate principal amount of the Securities, plus accrued and unpaid interest, if any, to, but not including, the Special Mandatory Redemption Date (the “</w:t>
      </w:r>
      <w:r>
        <w:rPr>
          <w:rFonts w:ascii="Times New Roman" w:cs="Times New Roman" w:eastAsia="Times New Roman" w:hAnsi="Times New Roman"/>
          <w:sz w:val="18"/>
          <w:szCs w:val="18"/>
          <w:u w:val="single" w:color="auto"/>
          <w:color w:val="auto"/>
        </w:rPr>
        <w:t>Special Mandatory Redemption Price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that the Company becomes obligated to redeem the Securities pursuant to the Special Mandatory Redemption, the Company will promptly, and in any event not more than ten (10) business days after the date on which a Special Mandatory Redemption Trigger occurred, deliver notice to the Trustee of the Special Mandatory Redemption and the date upon which the Securities will be redeemed (the “</w:t>
      </w:r>
      <w:r>
        <w:rPr>
          <w:rFonts w:ascii="Times New Roman" w:cs="Times New Roman" w:eastAsia="Times New Roman" w:hAnsi="Times New Roman"/>
          <w:sz w:val="18"/>
          <w:szCs w:val="18"/>
          <w:u w:val="single" w:color="auto"/>
          <w:color w:val="auto"/>
        </w:rPr>
        <w:t>Special Mandatory Redemption Date</w:t>
      </w:r>
      <w:r>
        <w:rPr>
          <w:rFonts w:ascii="Times New Roman" w:cs="Times New Roman" w:eastAsia="Times New Roman" w:hAnsi="Times New Roman"/>
          <w:sz w:val="18"/>
          <w:szCs w:val="18"/>
          <w:color w:val="auto"/>
        </w:rPr>
        <w:t>,” which date shall be no earlier than five (5) days and no later than thirty (30) days following the date of such notice, unless some longer minimum period may be required by DTC (or any successor depositary selected or approved by the Company)). The Trustee will then promptly mail, or electronically deliver, according to the procedures of DTC, such notice of Special Mandatory Redemption to each Holder of the Securities to be redeemed. Unless the Company defaults in payment of the Special Mandatory Redemption Price, on and after such Special Mandatory Redemption Date, interest will cease to accrue on the Securities to be redeemed.</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any series of the Securities that are due and payable on Interest Payment Dates falling on or prior to the Special Mandatory Redemption Date will be payable on such Interest Payment Dates to the Holders as of the close of business on the Regular Record Dates for the payment of interest in accordance with the Securities and the Indenture.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consummation of the First Merger, the foregoing provisions regarding the Special Mandatory Redemption will cease to apply. For purposes of the foregoing, the First Merger will be deemed consummated if the closing of the First Merger as contemplated under the Merger Agreement occurs, including after giving effect to any amendments, modifications or waivers to the Merger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a majority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(a) the entire indebtedness on this Security and (b) certain restrictive covenants and certain Events of Default, upon compliance by the Company with certain conditions set forth therein, which provisions apply to this Security.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due presentment for registration of transfer of this Security at the office or agency of the Trustee maintained for that purpose in St. Paul, Minnesota, a new Security or Securities of this series in authorized denominations for an equal aggregate principal amount will be issued to the transferee in exchange herefor, as provided in the Indenture and subject to the limitations provided therein and to the limitations described below, without charge except for any tax or other governmental charge imposed in connection therewith.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Security is exchangeable for definitive Securities in registered form only if (x) the Depository notifies the Company that it is unwilling or unable to continue as Depository for this Security or if at any time the Depository ceases to be a clearing agency registered under the Securities Exchange Act of 1934, as amended, or (y) the Company in its sole discretion determines that this Security shall be exchangeable for definitive Securities in registered form and notifies the Trustee thereof. If this Security is exchangeable pursuant to the preceding sentence, it shall be exchangeable for definitive Securities in registered form in denominations of $2,000 and any integral multiple of $1,000 in excess thereof, registered in such names as such Depository shall direct, bearing interest at the same rate, having the same date of issuance, redemption provisions, Stated Maturity and other terms and of differing denominations aggregating a like amount.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Security may not be transferred except as a whole by the Depository to a nominee of the Depository, or by a nominee of the Depository to the Depository or another nominee of the Depository, or by the Depository or any such nominee to a successor of the Depository or a nominee of such successor. Except as provided above, owners of beneficial interests in this global Security will not be entitled to receive physical delivery of Securities in definitive form and will not be considered the Holders hereof for any purpose under the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premium, if any) and interest on this Security at the times, place and rate, and in the coin or currency, herein prescribed, except that in the event the Company deposits money or Government Obligations as provided in Sections 402 or 1006 of the Indenture, such payments will be made only from proceeds of such money or Government Obligations.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premium, if any) or the interest on this Security, or for any claim based hereon, or otherwise in respect hereof, or based on or in respect of the Indenture or any indenture supplemental thereto, against any incorporator, stockholder, officer or director, as such, past, present or future, of the Company or any successor corporation, whether by virtue of any constitution, statute or rule of law, or by the enforcement of any assessment or penalty or otherwise, all such liability being, by the acceptance hereof and as part of the consideration for the issuance hereof, expressly waived and released.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Anything in the Indenture or the Security of this series to the contrary notwithstanding, for the purposes of the transactions contemplated by the Indenture relating to the Security of this series, the Security of this series and any document to be signed in connection with the Indenture or such Security (including the Securities of this series and amendments, supplements, waivers, consents and other modifications, Officers’ Certificates, Company Orders and Opinions of Counsel and other issuance, authentication and delivery documents) or the transactions contemplated hereby may be signed by manual signatures that are scanned, photocopied or faxed or other electronic signatures created on an electronic platform (such as DocuSign) or by digital signature (such as Adobe Sign), in each case that is approved by the Trustee, and contract formations on electronic platforms approved by the Trustee, and the keeping of records in electronic form, are hereby authorized, and each shall be of the same legal effect, validity or enforceability as a manually executed signature in ink or the use of a paper-based recordkeeping system, as the case may be.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in this Security which are defined in the Indenture shall have the meanings assigned to them in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right"/>
        <w:ind w:right="4019"/>
        <w:spacing w:after="0"/>
        <w:rPr>
          <w:sz w:val="20"/>
          <w:szCs w:val="20"/>
          <w:color w:val="auto"/>
        </w:rPr>
      </w:pPr>
      <w:r>
        <w:rPr>
          <w:rFonts w:ascii="Times New Roman" w:cs="Times New Roman" w:eastAsia="Times New Roman" w:hAnsi="Times New Roman"/>
          <w:sz w:val="18"/>
          <w:szCs w:val="18"/>
          <w:b w:val="1"/>
          <w:bCs w:val="1"/>
          <w:color w:val="auto"/>
        </w:rPr>
        <w:t>EXHIBIT A5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A DEPOSITORY OR A NOMINEE OF A DEPOSITORY, WHICH MAY BE TREATED BY THE COMPANY, THE TRUSTEE AND ANY AGENT THEREOF AS OWNER AND HOLDER OF THIS SECURITY FOR ALL PURPOSES. THIS GLOBAL SECURITY IS EXCHANGEABLE FOR SECURITIES REGISTERED IN THE NAME OF A PERSON OTHER THAN THE DEPOSITORY OR ITS NOMINEE ONLY IN THE LIMITED CIRCUMSTANCES HEREINAFTER DESCRIBED AND MAY NOT BE TRANSFERRED EXCEPT AS A WHOLE BY THE DEPOSITORY TO A NOMINEE OF THE DEPOSITORY OR BY A NOMINEE OF THE DEPOSITORY TO THE DEPOSITORY.</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THIS SECURITY IS PRESENTED BY AN AUTHORIZED REPRESENTATIVE OF THE DEPOSITORY TRUST COMPANY, A NEW YORK CORPORATION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8" w:name="page119"/>
    <w:bookmarkEnd w:id="118"/>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PLEDGE OR OTHERWISE TRANSFER SUCH SECURITY, PRIOR TO THE DATE (THE “RESALE RESTRICTION TERMINATION DATE”) THAT IS [IN THE CASE OF RULE 144A GLOBAL NOTES: ONE YEAR AFTER THE LATER OF THE ISSUE DATE HEREOF OR ANY OTHER ISSUE DATE IN RESPECT OF A FURTHER ISSUANCE OF SECURITIES OF THE SAME SERIES AND THE LAST DATE ON WHICH KIMBERLY-CLARK CORPORATION OR ANY AFFILIATE OF KIMBERLY-CLARK CORPORATION WAS THE OWNER OF THIS SECURITY (OR ANY PREDECESSOR OF SUCH SECURITY), ONLY (A) TO KIMBERLY-CLARK CORPORATION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w:t>
      </w:r>
    </w:p>
    <w:p>
      <w:pPr>
        <w:spacing w:after="0" w:line="198" w:lineRule="exact"/>
        <w:rPr>
          <w:sz w:val="20"/>
          <w:szCs w:val="20"/>
          <w:color w:val="auto"/>
        </w:rPr>
      </w:pPr>
    </w:p>
    <w:p>
      <w:pPr>
        <w:jc w:val="both"/>
        <w:ind w:firstLine="8"/>
        <w:spacing w:after="0" w:line="250" w:lineRule="auto"/>
        <w:tabs>
          <w:tab w:leader="none" w:pos="33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[IN THE CASE OF REGULATION S NOTES: 40 DAYS AFTER THE LATER OF THE ISSUE DATE HEREOF OR ANY OTHER ISSUE DATE IN RESPECT OF A FURTHER ISSUANCE OF SECURITIES OF THE SAME SERIES AND THE DATE ON WHICH THIS SECURITY (OR ANY PREDECESSOR OF SUCH SECURITY) WAS FIRST OFFERED TO PERSONS OTHER THAN DISTRIBUTORS (AS DEFINED IN RULE 902 OF REGULATION S) IN RELIANCE ON REGULATION S, ONLY (A) TO KIMBERLY-CLARK CORPORATION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 (E) TO AN INSTITUTIONAL “ACCREDITED INVESTOR” WITHIN THE MEANING OF RULE 501(A)(1), (2), (3), (7) OR (9) UNDER REGULATION D PROMULGATED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KIMBERLY-CLARK CORPORATION’S AND THE TRUSTEE’S RIGHT PRIOR TO ANY SUCH OFFER, SALE, PLEDGE OR TRANSFER PURSUANT TO CLAUSES (D), (E) OR (F) TO REQUIRE THE DELIVERY OF AN OPINION OF COUNSEL, CERTIFICATION AND/ OR OTHER INFORMATION SATISFACTORY TO EACH OF THEM; PROVIDED THAT PRIOR TO THE RESALE RESTRICTION TERMINATION DATE, THE HOLDER AGREES ON ITS OWN BEHALF AND ON BEHALF OF ANY INVESTOR ACCOUNT FOR WHICH IT HAS PURCHASED SECURITIES, TO NOT OFFER, SELL, PLEDGE OR OTHERWISE TRANSFER SUCH SECURITY TO A U.S. PERSON OR FOR THE ACCOUNT OR BENEFIT OF A U.S. PERSON.]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BY ITS ACQUISITION HEREOF, THE HOLDER HEREOF AGREES THAT (A) IT IS NOT, AND WILL NOT BECOME (I) AN “EMPLOYEE BENEFIT PLAN” (AS DEFINED IN SECTION 3(3) OF THE EMPLOYEE RETIREMENT INCOME SECURITY ACT OF 1974, AS AMENDED (“ERISA”)) THAT IS SUBJECT TO TITLE I OF ERISA, (II) A PLAN DESCRIBED IN SECTION 4975(E)(1) OF THE INTERNAL REVENUE CODE OF 1986, AS AMENDED (THE “CODE”), THAT IS SUBJECT TO SECTION 4975 OF THE CODE, (III) A PLAN, INDIVIDUAL RETIREMENT ACCOUNT OR OTHER ARRANGEMENT THAT IS SUBJECT TO THE PROVISIONS OF ANY FEDERAL, STATE, LOCAL, NON-U.S. OR OTHER LAWS, RULES OR REGULATIONS THAT ARE SIMILAR TO SUCH PROVISIONS OF ERISA OR THE CODE (SUCH LAWS, COLLECTIVELY, “SIMILAR LAWS”) OR (IV) AN ENTITY OR ACCOUNT WHOSE UNDERLYING ASSETS ARE CONSIDERED TO INCLUDE THE ASSETS OF ANY SUCH PLAN OR ARRANGEMENT DESCRIBED IN (I), (II) OR (III) AND (B) ITS PURCHASE AND HOLDING OF THIS SECURITY, OR INTEREST THEREIN, WILL NOT CONSTITUTE OR RESULT IN A NON-EXEMPT PROHIBITED TRANSACTION UNDER SECTION 406 OF ERISA AND/OR SECTION 4975 OF THE CODE OR A VIOLATION OF ANY SIMILAR LAWS.</w:t>
      </w:r>
    </w:p>
    <w:p>
      <w:pPr>
        <w:spacing w:after="0" w:line="194"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[BY ITS ACQUISITION HEREOF, THE HOLDER HEREOF REPRESENTS THAT IT IS NOT A U.S. PERSON NOR IS IT PURCHASING FOR THE ACCOUNT OF A U.S. PERSON AND IS ACQUIRING THIS SECURITY IN AN OFFSHORE TRANSACTION IN ACCORDANCE WITH REGULATION S UNDER THE SECURITIES ACT.]</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7830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Applies to Regulation S Notes only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t>No. [A-[●] / S-[●]]</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CUSIP No. [494368 CK7 (144A) / U49436 AK1 (Reg S)] PRINCIPAL AMOUNT: $[●] ISIN No. [US494368CK70 (144A) / USU49436AK18 (Reg S)]</w:t>
      </w:r>
    </w:p>
    <w:p>
      <w:pPr>
        <w:spacing w:after="0" w:line="200" w:lineRule="exact"/>
        <w:rPr>
          <w:sz w:val="20"/>
          <w:szCs w:val="20"/>
          <w:color w:val="auto"/>
        </w:rPr>
      </w:pPr>
    </w:p>
    <w:p>
      <w:pPr>
        <w:spacing w:after="0" w:line="21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5.800% NOTES DUE OCTOBER 29, 2036</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Kimberly-Clark Corporation, a corporation duly incorporated and existing under the laws of the State of Delaware (hereinafter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corporation under the Indenture hereinafter referred to), for value received, hereby promises to pay to CEDE &amp; CO., or registered assigns, the principal sum of ($[●]) on October 29, 2036, and to pay interest thereon from October 29, 2026, or from the most recent Interest Payment Date to which interest has been paid or duly provided for semi-annually on April 29 and October 29 of each year, commencing April 29, 2027, at the rate of 5.800% per annum, until the principal hereof is paid or made available for payment. The interest so payable, and punctually paid or duly provided for, on any Interest Payment Date will, as provided in the Indenture, be paid to the Person in whose name this Security (or one or more Predecessor Securities) is registered at the close of business on the Regular Record Date for such interest, which shall be April 14 and October 14 (whether or not a Business Day), as the case may be, next preceding such Interest Payment Date. All references in this Security to any interest or other amount payable on or with respect to this Security will be deemed to include Additional Interest pursuant to the Registration Rights Agreement, if any. Any amounts of Additional Interest due will be payable in cash on the same original Interest Payment Dates as interest on this Security is payable.</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interest not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the Indenture.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or pdf or other electronically imaged (including, without limitation, DocuSign or AdobeSign) signature, this Security shall not be entitled to any benefit under the Indenture or be valid or obligatory for any purpose.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ind w:left="660"/>
        <w:spacing w:after="0"/>
        <w:rPr>
          <w:sz w:val="20"/>
          <w:szCs w:val="20"/>
          <w:color w:val="auto"/>
        </w:rPr>
      </w:pPr>
      <w:r>
        <w:rPr>
          <w:rFonts w:ascii="Times New Roman" w:cs="Times New Roman" w:eastAsia="Times New Roman" w:hAnsi="Times New Roman"/>
          <w:sz w:val="17"/>
          <w:szCs w:val="17"/>
          <w:color w:val="auto"/>
        </w:rPr>
        <w:t>IN WITNESS WHEREOF, the Company has caused this instrument to be duly executed under its corporate seal.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29,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AUTHENTICATION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series designated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 referred to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within-mentioned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successor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color w:val="auto"/>
        </w:rPr>
        <w:t>[Reverse of Note]</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5.800% NOTES DUE OCTOBER 29, 2036</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issued and to be issued in one or more series under a First Amended and Restated Indenture, dated as of March 1, 1988, as amended or supplemented from time to time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The Bank of New York Mellon Trust Company, N.A., as successor trustee and U.S. Bank Trust Company, National Association, as successor trustee in respect of the Future Notes (as defined in the Eighth Supplemental Indenture dated as of October 27, 2021)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$1,150,000,000.</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Prior to July 29, 2036 (three months prior to the maturity date of the Securities) (the “</w:t>
      </w:r>
      <w:r>
        <w:rPr>
          <w:rFonts w:ascii="Times New Roman" w:cs="Times New Roman" w:eastAsia="Times New Roman" w:hAnsi="Times New Roman"/>
          <w:sz w:val="18"/>
          <w:szCs w:val="18"/>
          <w:u w:val="single" w:color="auto"/>
          <w:color w:val="auto"/>
        </w:rPr>
        <w:t>Measurement Date</w:t>
      </w:r>
      <w:r>
        <w:rPr>
          <w:rFonts w:ascii="Times New Roman" w:cs="Times New Roman" w:eastAsia="Times New Roman" w:hAnsi="Times New Roman"/>
          <w:sz w:val="18"/>
          <w:szCs w:val="18"/>
          <w:color w:val="auto"/>
        </w:rPr>
        <w:t>”), the Company may redeem the Securities at its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the Securities matured on the Measurement Date) on a semi-annual basis (assuming a 360-day year consisting of twelve 30-day months) at the Treasury Rate plus 15 basis points less (b) interest accrued to, but excluding, the Redemption Date, and</w:t>
      </w:r>
    </w:p>
    <w:p>
      <w:pPr>
        <w:spacing w:after="0" w:line="3" w:lineRule="exact"/>
        <w:rPr>
          <w:sz w:val="20"/>
          <w:szCs w:val="20"/>
          <w:color w:val="auto"/>
        </w:rPr>
      </w:pPr>
    </w:p>
    <w:p>
      <w:pPr>
        <w:jc w:val="both"/>
        <w:ind w:firstLine="8"/>
        <w:spacing w:after="0" w:line="253" w:lineRule="auto"/>
        <w:tabs>
          <w:tab w:leader="none" w:pos="28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Securities to be redeemed, plus, in either case, accrued and unpaid interest thereon to, but excluding, the Redemption Date. On or after the Measurement Date, the Company may redeem the Securities, in whole or in part, at any time and from time to time, at a Redemption Price equal to 100% of the principal amount of the Securities being redeemed plus accrued and unpaid interest thereon to, but excluding, the Redemption Date.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the yield determined by the Company in accordance with the following two paragraphs.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will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8"/>
          <w:szCs w:val="18"/>
          <w:u w:val="single" w:color="auto"/>
          <w:color w:val="auto"/>
        </w:rPr>
        <w:t>H.15</w:t>
      </w:r>
      <w:r>
        <w:rPr>
          <w:rFonts w:ascii="Times New Roman" w:cs="Times New Roman" w:eastAsia="Times New Roman" w:hAnsi="Times New Roman"/>
          <w:sz w:val="18"/>
          <w:szCs w:val="18"/>
          <w:color w:val="auto"/>
        </w:rPr>
        <w:t>”) under the caption “U.S. government securities — Treasury constant maturities — Nominal” (or any successor caption or heading) (“</w:t>
      </w:r>
      <w:r>
        <w:rPr>
          <w:rFonts w:ascii="Times New Roman" w:cs="Times New Roman" w:eastAsia="Times New Roman" w:hAnsi="Times New Roman"/>
          <w:sz w:val="18"/>
          <w:szCs w:val="18"/>
          <w:u w:val="single" w:color="auto"/>
          <w:color w:val="auto"/>
        </w:rPr>
        <w:t>H.15 TCM</w:t>
      </w:r>
      <w:r>
        <w:rPr>
          <w:rFonts w:ascii="Times New Roman" w:cs="Times New Roman" w:eastAsia="Times New Roman" w:hAnsi="Times New Roman"/>
          <w:sz w:val="18"/>
          <w:szCs w:val="18"/>
          <w:color w:val="auto"/>
        </w:rPr>
        <w:t>”). In determining the Treasury Rate, the Company will select, as applicable: (1) the yield for the Treasury constant maturity on H.15 exactly equal to the period from the Redemption Date to the Measurement Date (the “</w:t>
      </w:r>
      <w:r>
        <w:rPr>
          <w:rFonts w:ascii="Times New Roman" w:cs="Times New Roman" w:eastAsia="Times New Roman" w:hAnsi="Times New Roman"/>
          <w:sz w:val="18"/>
          <w:szCs w:val="18"/>
          <w:u w:val="single" w:color="auto"/>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Measurement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or any successor designation or publication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Measurement Date, as applicable. If there is no United States Treasury security maturing on the Measurement Date but there are two or more United States Treasury securities with a maturity date equally distant from the Measurement Date, one with a maturity date preceding the Measurement Date and one with a maturity date following the Measurement Date, the Company will select the United States Treasury security with a maturity date preceding the Measurement Date. If there are two or more United States Treasury securities maturing on the Measurement Date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Notice of any redemption, other than any Special Mandatory Redemption, will be mailed or electronically delivered (or otherwise transmitted in accordance with the Depository’s procedures) at least 10 days but not more than 60 days before the Redemption Date to each Holder of Securities to be redeemed. Notice of any redemption of the Securities, other than any Special Mandatory Redemption, may, at the Company’s discretion, be given subject to one or more conditions precedent, including, but not limited to, completion of a corporate transaction. If such redemption is so subject to satisfaction of one or more conditions precedent, such notice shall describe each such condition, and, if applicable, will state that at the Company’s discretion, the Redemption Date may be delayed (including more than 60 days after the notice of redemption was given) until such time as any or all such conditions precedent will be satisfied (or waived by the Company in the Company’s sole discretion), or such notice may be rescinded in the event that any or all such conditions shall not have been satisfied or otherwise waived by the Redemption Date, or by the Redemption Date as so delayed. If any such redemption has been rescinded or delayed, the Company will provide written notice to the Trustee prior to the close of business two business days before the Redemption Date and, upon receipt, the Trustee will provide such notice to each Holder of the Securities. Once notice of redemption is mailed or sent, subject to the satisfaction or waiver (in the Company’s sole discretion) of any conditions precedent provided in the notice of redemption, the Securities called for redemption will become due and payable on the Redemption Date and at the applicable Redemption Price, plus accrued and unpaid interest to the Redemption Date.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case of a partial redemption, selection of the Securities for redemption will be made pro rata, by lot or by such other method as the Trustee in its sole discretion deems appropriate and fair. No Securities of a principal amount of $2,000 or less will be redeemed in part. If any Security is to be redeemed in part only, the notice of redemption that relates to the Security will state the portion of the principal amount of the Security to be redeemed. A new Security in a principal amount equal to the unredeemed portion of the Security will be issued in the name of the Holder of the Security upon surrender for cancellation of the original Security. For so long as the Securities are held by DTC (or another depositary), the redemption of the Securities, including the allocation of the Redemption Price among beneficial owners of the Securities, shall be done in accordance with the policies and procedures of the depositary.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Securities or portions thereof called for redemption.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will not be entitled to any sinking fund.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as defined in the Indenture, with respect to Securities of this series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entered into an Agreement and Plan of Merger, dated as of November 2, 2025 (as amended, supplemented or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Kenvue Inc., a Delaware corporation (“</w:t>
      </w:r>
      <w:r>
        <w:rPr>
          <w:rFonts w:ascii="Times New Roman" w:cs="Times New Roman" w:eastAsia="Times New Roman" w:hAnsi="Times New Roman"/>
          <w:sz w:val="18"/>
          <w:szCs w:val="18"/>
          <w:u w:val="single" w:color="auto"/>
          <w:color w:val="auto"/>
        </w:rPr>
        <w:t>Kenvue</w:t>
      </w:r>
      <w:r>
        <w:rPr>
          <w:rFonts w:ascii="Times New Roman" w:cs="Times New Roman" w:eastAsia="Times New Roman" w:hAnsi="Times New Roman"/>
          <w:sz w:val="18"/>
          <w:szCs w:val="18"/>
          <w:color w:val="auto"/>
        </w:rPr>
        <w:t>”), Vesta Sub I, Inc., a Delaware corporation and a direct wholly owned subsidiary of the Company (“</w:t>
      </w:r>
      <w:r>
        <w:rPr>
          <w:rFonts w:ascii="Times New Roman" w:cs="Times New Roman" w:eastAsia="Times New Roman" w:hAnsi="Times New Roman"/>
          <w:sz w:val="18"/>
          <w:szCs w:val="18"/>
          <w:u w:val="single" w:color="auto"/>
          <w:color w:val="auto"/>
        </w:rPr>
        <w:t>First Merger Sub</w:t>
      </w:r>
      <w:r>
        <w:rPr>
          <w:rFonts w:ascii="Times New Roman" w:cs="Times New Roman" w:eastAsia="Times New Roman" w:hAnsi="Times New Roman"/>
          <w:sz w:val="18"/>
          <w:szCs w:val="18"/>
          <w:color w:val="auto"/>
        </w:rPr>
        <w:t>”), and Vesta Sub II, LLC, a Delaware limited liability company and a direct wholly owned subsidiary of the Company (“</w:t>
      </w:r>
      <w:r>
        <w:rPr>
          <w:rFonts w:ascii="Times New Roman" w:cs="Times New Roman" w:eastAsia="Times New Roman" w:hAnsi="Times New Roman"/>
          <w:sz w:val="18"/>
          <w:szCs w:val="18"/>
          <w:u w:val="single" w:color="auto"/>
          <w:color w:val="auto"/>
        </w:rPr>
        <w:t>Second Merger Sub</w:t>
      </w:r>
      <w:r>
        <w:rPr>
          <w:rFonts w:ascii="Times New Roman" w:cs="Times New Roman" w:eastAsia="Times New Roman" w:hAnsi="Times New Roman"/>
          <w:sz w:val="18"/>
          <w:szCs w:val="18"/>
          <w:color w:val="auto"/>
        </w:rPr>
        <w:t>”). Under the terms of the Merger Agreement, First Merger Sub will merge with and into Kenvue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Kenvue surviving as a direct wholly owned subsidiary of the Company (the “</w:t>
      </w:r>
      <w:r>
        <w:rPr>
          <w:rFonts w:ascii="Times New Roman" w:cs="Times New Roman" w:eastAsia="Times New Roman" w:hAnsi="Times New Roman"/>
          <w:sz w:val="18"/>
          <w:szCs w:val="18"/>
          <w:u w:val="single" w:color="auto"/>
          <w:color w:val="auto"/>
        </w:rPr>
        <w:t>Initial Surviving Company</w:t>
      </w:r>
      <w:r>
        <w:rPr>
          <w:rFonts w:ascii="Times New Roman" w:cs="Times New Roman" w:eastAsia="Times New Roman" w:hAnsi="Times New Roman"/>
          <w:sz w:val="18"/>
          <w:szCs w:val="18"/>
          <w:color w:val="auto"/>
        </w:rPr>
        <w:t>”), and immediately following the First Merger, and as part of the same overall transaction as the First Merger, the Initial Surviving Company will merge with and into Second Merger Sub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with Second Merger Sub surviving the Second Merger as a direct wholly owned subsidiary of the Company.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(i) the First Merger has not been consummated prior to the date that is five (5) business days after the later of (x) May 31, 2027 or (y) any later date as the parties to the Merger Agreement may agree as the “Outside Date” thereunder or (ii) the Company notifies the Trustee that the Company will not pursue the consummation of the First Merger (each of (i) and (ii), a “</w:t>
      </w:r>
      <w:r>
        <w:rPr>
          <w:rFonts w:ascii="Times New Roman" w:cs="Times New Roman" w:eastAsia="Times New Roman" w:hAnsi="Times New Roman"/>
          <w:sz w:val="18"/>
          <w:szCs w:val="18"/>
          <w:u w:val="single" w:color="auto"/>
          <w:color w:val="auto"/>
        </w:rPr>
        <w:t>Special Mandatory Redemption Trigger</w:t>
      </w:r>
      <w:r>
        <w:rPr>
          <w:rFonts w:ascii="Times New Roman" w:cs="Times New Roman" w:eastAsia="Times New Roman" w:hAnsi="Times New Roman"/>
          <w:sz w:val="18"/>
          <w:szCs w:val="18"/>
          <w:color w:val="auto"/>
        </w:rPr>
        <w:t>”), then the Company will be required to redeem all outstanding Securities (such redemption, the “</w:t>
      </w:r>
      <w:r>
        <w:rPr>
          <w:rFonts w:ascii="Times New Roman" w:cs="Times New Roman" w:eastAsia="Times New Roman" w:hAnsi="Times New Roman"/>
          <w:sz w:val="18"/>
          <w:szCs w:val="18"/>
          <w:u w:val="single" w:color="auto"/>
          <w:color w:val="auto"/>
        </w:rPr>
        <w:t>Special Mandatory Redemption</w:t>
      </w:r>
      <w:r>
        <w:rPr>
          <w:rFonts w:ascii="Times New Roman" w:cs="Times New Roman" w:eastAsia="Times New Roman" w:hAnsi="Times New Roman"/>
          <w:sz w:val="18"/>
          <w:szCs w:val="18"/>
          <w:color w:val="auto"/>
        </w:rPr>
        <w:t>”) at a special mandatory Redemption Price equal to 101% of the aggregate principal amount of the Securities, plus accrued and unpaid interest, if any, to, but not including, the Special Mandatory Redemption Date (the “</w:t>
      </w:r>
      <w:r>
        <w:rPr>
          <w:rFonts w:ascii="Times New Roman" w:cs="Times New Roman" w:eastAsia="Times New Roman" w:hAnsi="Times New Roman"/>
          <w:sz w:val="18"/>
          <w:szCs w:val="18"/>
          <w:u w:val="single" w:color="auto"/>
          <w:color w:val="auto"/>
        </w:rPr>
        <w:t>Special Mandatory Redemption Price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that the Company becomes obligated to redeem the Securities pursuant to the Special Mandatory Redemption, the Company will promptly, and in any event not more than ten (10) business days after the date on which a Special Mandatory Redemption Trigger occurred, deliver notice to the Trustee of the Special Mandatory Redemption and the date upon which the Securities will be redeemed (the “</w:t>
      </w:r>
      <w:r>
        <w:rPr>
          <w:rFonts w:ascii="Times New Roman" w:cs="Times New Roman" w:eastAsia="Times New Roman" w:hAnsi="Times New Roman"/>
          <w:sz w:val="18"/>
          <w:szCs w:val="18"/>
          <w:u w:val="single" w:color="auto"/>
          <w:color w:val="auto"/>
        </w:rPr>
        <w:t>Special Mandatory Redemption Date</w:t>
      </w:r>
      <w:r>
        <w:rPr>
          <w:rFonts w:ascii="Times New Roman" w:cs="Times New Roman" w:eastAsia="Times New Roman" w:hAnsi="Times New Roman"/>
          <w:sz w:val="18"/>
          <w:szCs w:val="18"/>
          <w:color w:val="auto"/>
        </w:rPr>
        <w:t>,” which date shall be no earlier than five (5) days and no later than thirty (30) days following the date of such notice, unless some longer minimum period may be required by DTC (or any successor depositary selected or approved by the Company)). The Trustee will then promptly mail, or electronically deliver, according to the procedures of DTC, such notice of Special Mandatory Redemption to each Holder of the Securities to be redeemed. Unless the Company defaults in payment of the Special Mandatory Redemption Price, on and after such Special Mandatory Redemption Date, interest will cease to accrue on the Securities to be redeemed.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any series of the Securities that are due and payable on Interest Payment Dates falling on or prior to the Special Mandatory Redemption Date will be payable on such Interest Payment Dates to the Holders as of the close of business on the Regular Record Dates for the payment of interest in accordance with the Securities and the Indenture.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consummation of the First Merger, the foregoing provisions regarding the Special Mandatory Redemption will cease to apply. For purposes of the foregoing, the First Merger will be deemed consummated if the closing of the First Merger as contemplated under the Merger Agreement occurs, including after giving effect to any amendments, modifications or waivers to the Merger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a majority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(a) the entire indebtedness on this Security and (b) certain restrictive covenants and certain Events of Default, upon compliance by the Company with certain conditions set forth therein, which provisions apply to this Security.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due presentment for registration of transfer of this Security at the office or agency of the Trustee maintained for that purpose in St. Paul, Minnesota, a new Security or Securities of this series in authorized denominations for an equal aggregate principal amount will be issued to the transferee in exchange herefor, as provided in the Indenture and subject to the limitations provided therein and to the limitations described below, without charge except for any tax or other governmental charge imposed in connection therewith.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Security is exchangeable for definitive Securities in registered form only if (x) the Depository notifies the Company that it is unwilling or unable to continue as Depository for this Security or if at any time the Depository ceases to be a clearing agency registered under the Securities Exchange Act of 1934, as amended, or (y) the Company in its sole discretion determines that this Security shall be exchangeable for definitive Securities in registered form and notifies the Trustee thereof. If this Security is exchangeable pursuant to the preceding sentence, it shall be exchangeable for definitive Securities in registered form in denominations of $2,000 and any integral multiple of $1,000 in excess thereof, registered in such names as such Depository shall direct, bearing interest at the same rate, having the same date of issuance, redemption provisions, Stated Maturity and other terms and of differing denominations aggregating a like amount.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Security may not be transferred except as a whole by the Depository to a nominee of the Depository, or by a nominee of the Depository to the Depository or another nominee of the Depository, or by the Depository or any such nominee to a successor of the Depository or a nominee of such successor. Except as provided above, owners of beneficial interests in this global Security will not be entitled to receive physical delivery of Securities in definitive form and will not be considered the Holders hereof for any purpose under the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premium, if any) and interest on this Security at the times, place and rate, and in the coin or currency, herein prescribed, except that in the event the Company deposits money or Government Obligations as provided in Sections 402 or 1006 of the Indenture, such payments will be made only from proceeds of such money or Government Obligations.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premium, if any) or the interest on this Security, or for any claim based hereon, or otherwise in respect hereof, or based on or in respect of the Indenture or any indenture supplemental thereto, against any incorporator, stockholder, officer or director, as such, past, present or future, of the Company or any successor corporation, whether by virtue of any constitution, statute or rule of law, or by the enforcement of any assessment or penalty or otherwise, all such liability being, by the acceptance hereof and as part of the consideration for the issuance hereof, expressly waived and released.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Anything in the Indenture or the Security of this series to the contrary notwithstanding, for the purposes of the transactions contemplated by the Indenture relating to the Security of this series, the Security of this series and any document to be signed in connection with the Indenture or such Security (including the Securities of this series and amendments, supplements, waivers, consents and other modifications, Officers’ Certificates, Company Orders and Opinions of Counsel and other issuance, authentication and delivery documents) or the transactions contemplated hereby may be signed by manual signatures that are scanned, photocopied or faxed or other electronic signatures created on an electronic platform (such as DocuSign) or by digital signature (such as Adobe Sign), in each case that is approved by the Trustee, and contract formations on electronic platforms approved by the Trustee, and the keeping of records in electronic form, are hereby authorized, and each shall be of the same legal effect, validity or enforceability as a manually executed signature in ink or the use of a paper-based recordkeeping system, as the case may be.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in this Security which are defined in the Indenture shall have the meanings assigned to them in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right"/>
        <w:ind w:right="405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(attached)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SUPPLEMENTAL INDENTURE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__________ Supplemental Indenture, dated as of __________, 20___ (the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among Kimberly-Clark Corporation, a</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corporation duly organized and existing under the laws of the State of Delaware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Kenvue LLC, a Delaware limited liability company (“</w:t>
      </w:r>
      <w:r>
        <w:rPr>
          <w:rFonts w:ascii="Times New Roman" w:cs="Times New Roman" w:eastAsia="Times New Roman" w:hAnsi="Times New Roman"/>
          <w:sz w:val="18"/>
          <w:szCs w:val="18"/>
          <w:u w:val="single" w:color="auto"/>
          <w:color w:val="auto"/>
        </w:rPr>
        <w:t>Kenvue</w:t>
      </w:r>
      <w:r>
        <w:rPr>
          <w:rFonts w:ascii="Times New Roman" w:cs="Times New Roman" w:eastAsia="Times New Roman" w:hAnsi="Times New Roman"/>
          <w:sz w:val="18"/>
          <w:szCs w:val="18"/>
          <w:color w:val="auto"/>
        </w:rPr>
        <w:t>”), and U.S. Bank Trust Company, National Association, a national banking association duly incorporated and existing under the laws of the United States, as successor trustee in respect of the Future Notes (as defined in the Eighth Supplemental Indenture referred to below)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amends and supplements that certain First Amended and Restated Indenture, dated as of March 1, 1988 (as heretofore supplemented and amended,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between the Corporation, the Trustee and The Bank of New York Mellon Trust Company, N.A., as successor trustee (the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 OF THE CORPORATION AND THE GUARANTOR</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WHEREAS, the Corporation has heretofore executed and delivered to the Trustee and the First Trustee the Base Indenture, as amended and supplemented by the First Supplemental Indenture, dated as of November 6, 1992, the Second Supplemental Indenture, dated as of May 25, 1994, the Third Supplemental Indenture, dated as of March 14, 2002, the Fourth Supplemental Indenture, dated as of December 19, 2006, the Fifth Supplemental Indenture, dated as of February 9, 2011, the Sixth Supplemental Indenture, dated as of September 7, 2017, the Seventh Supplemental Indenture, dated as of September 11, 2020, the Eighth Supplemental Indenture, dated as of October 27, 2021 (the “Eighth Supplemental Indenture”), the Ninth Supplemental Indenture, dated as of November 2, 2021, the Tenth Supplemental Indenture, dated as of February 16, 2023, and the Eleventh Supplemental Indenture, dated as of October 29, 2026 (the “</w:t>
      </w:r>
      <w:r>
        <w:rPr>
          <w:rFonts w:ascii="Times New Roman" w:cs="Times New Roman" w:eastAsia="Times New Roman" w:hAnsi="Times New Roman"/>
          <w:sz w:val="18"/>
          <w:szCs w:val="18"/>
          <w:u w:val="single" w:color="auto"/>
          <w:color w:val="auto"/>
        </w:rPr>
        <w:t>Eleventh Supplemental Indenture</w:t>
      </w:r>
      <w:r>
        <w:rPr>
          <w:rFonts w:ascii="Times New Roman" w:cs="Times New Roman" w:eastAsia="Times New Roman" w:hAnsi="Times New Roman"/>
          <w:sz w:val="18"/>
          <w:szCs w:val="18"/>
          <w:color w:val="auto"/>
        </w:rPr>
        <w:t>”) (the Base Indenture, as so supplemented and amended by the Supplemental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on November 2, 2025, the Corporation entered into an Agreement and Plan of Merger (as amended, supplemented or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Kenvue Inc., a Delaware corporation (“</w:t>
      </w:r>
      <w:r>
        <w:rPr>
          <w:rFonts w:ascii="Times New Roman" w:cs="Times New Roman" w:eastAsia="Times New Roman" w:hAnsi="Times New Roman"/>
          <w:sz w:val="18"/>
          <w:szCs w:val="18"/>
          <w:u w:val="single" w:color="auto"/>
          <w:color w:val="auto"/>
        </w:rPr>
        <w:t>Legacy Kenvue</w:t>
      </w:r>
      <w:r>
        <w:rPr>
          <w:rFonts w:ascii="Times New Roman" w:cs="Times New Roman" w:eastAsia="Times New Roman" w:hAnsi="Times New Roman"/>
          <w:sz w:val="18"/>
          <w:szCs w:val="18"/>
          <w:color w:val="auto"/>
        </w:rPr>
        <w:t>”), Vesta Sub I, Inc., a Delaware corporation and a direct wholly owned subsidiary of the Corporation (“</w:t>
      </w:r>
      <w:r>
        <w:rPr>
          <w:rFonts w:ascii="Times New Roman" w:cs="Times New Roman" w:eastAsia="Times New Roman" w:hAnsi="Times New Roman"/>
          <w:sz w:val="18"/>
          <w:szCs w:val="18"/>
          <w:u w:val="single" w:color="auto"/>
          <w:color w:val="auto"/>
        </w:rPr>
        <w:t>First Merger Sub</w:t>
      </w:r>
      <w:r>
        <w:rPr>
          <w:rFonts w:ascii="Times New Roman" w:cs="Times New Roman" w:eastAsia="Times New Roman" w:hAnsi="Times New Roman"/>
          <w:sz w:val="18"/>
          <w:szCs w:val="18"/>
          <w:color w:val="auto"/>
        </w:rPr>
        <w:t>”), and Kenvue (f/k/a Vesta Sub II, LLC). On November 2, 2026, pursuant to the terms of the Merger Agreement, First Merger Sub merged with and into Legacy Kenvue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Legacy Kenvue surviving as a direct wholly owned subsidiary of the Corporation (the “</w:t>
      </w:r>
      <w:r>
        <w:rPr>
          <w:rFonts w:ascii="Times New Roman" w:cs="Times New Roman" w:eastAsia="Times New Roman" w:hAnsi="Times New Roman"/>
          <w:sz w:val="18"/>
          <w:szCs w:val="18"/>
          <w:u w:val="single" w:color="auto"/>
          <w:color w:val="auto"/>
        </w:rPr>
        <w:t>Initial Surviving Company</w:t>
      </w:r>
      <w:r>
        <w:rPr>
          <w:rFonts w:ascii="Times New Roman" w:cs="Times New Roman" w:eastAsia="Times New Roman" w:hAnsi="Times New Roman"/>
          <w:sz w:val="18"/>
          <w:szCs w:val="18"/>
          <w:color w:val="auto"/>
        </w:rPr>
        <w:t>”), and immediately following the First Merger, and as part of the same overall transaction as the First Merger, the Initial Surviving Company merged with and into Kenvue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with Kenvue surviving the Second Merger as a direct wholly owned subsidiary of the Corporation.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in connection with the Acquisition, on September 28, 2026, the Corporation commenced exchange offers (the “</w:t>
      </w:r>
      <w:r>
        <w:rPr>
          <w:rFonts w:ascii="Times New Roman" w:cs="Times New Roman" w:eastAsia="Times New Roman" w:hAnsi="Times New Roman"/>
          <w:sz w:val="18"/>
          <w:szCs w:val="18"/>
          <w:u w:val="single" w:color="auto"/>
          <w:color w:val="auto"/>
        </w:rPr>
        <w:t>Exchange Offers</w:t>
      </w:r>
      <w:r>
        <w:rPr>
          <w:rFonts w:ascii="Times New Roman" w:cs="Times New Roman" w:eastAsia="Times New Roman" w:hAnsi="Times New Roman"/>
          <w:sz w:val="18"/>
          <w:szCs w:val="18"/>
          <w:color w:val="auto"/>
        </w:rPr>
        <w:t>”) for any and all outstanding notes issued by Legacy Kenvue, for up to $7.0 billion aggregate principal amount of new notes issued by the Corporation and cash, subject to the terms and conditions described in the confidential offering memorandum and consent solicitation statement, dated September 28, 2026 (as amended or supplemented from time to time, the “</w:t>
      </w:r>
      <w:r>
        <w:rPr>
          <w:rFonts w:ascii="Times New Roman" w:cs="Times New Roman" w:eastAsia="Times New Roman" w:hAnsi="Times New Roman"/>
          <w:sz w:val="18"/>
          <w:szCs w:val="18"/>
          <w:u w:val="single" w:color="auto"/>
          <w:color w:val="auto"/>
        </w:rPr>
        <w:t>EOM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9" w:name="page130"/>
    <w:bookmarkEnd w:id="12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pursuant to the Eleventh Supplemental Indenture, , the Corporation issued (i) an issue of its Securities named its 5.100% Notes due October 29, 2028 in the aggregate principal amount of $750,000,000 (the “</w:t>
      </w:r>
      <w:r>
        <w:rPr>
          <w:rFonts w:ascii="Times New Roman" w:cs="Times New Roman" w:eastAsia="Times New Roman" w:hAnsi="Times New Roman"/>
          <w:sz w:val="18"/>
          <w:szCs w:val="18"/>
          <w:u w:val="single" w:color="auto"/>
          <w:color w:val="auto"/>
        </w:rPr>
        <w:t>2028 Notes</w:t>
      </w:r>
      <w:r>
        <w:rPr>
          <w:rFonts w:ascii="Times New Roman" w:cs="Times New Roman" w:eastAsia="Times New Roman" w:hAnsi="Times New Roman"/>
          <w:sz w:val="18"/>
          <w:szCs w:val="18"/>
          <w:color w:val="auto"/>
        </w:rPr>
        <w:t>”), (ii) an issue of its Securities named its 5.300% Notes due October 29, 2029 in the aggregate principal amount of $1,000,000,000 (the “</w:t>
      </w:r>
      <w:r>
        <w:rPr>
          <w:rFonts w:ascii="Times New Roman" w:cs="Times New Roman" w:eastAsia="Times New Roman" w:hAnsi="Times New Roman"/>
          <w:sz w:val="18"/>
          <w:szCs w:val="18"/>
          <w:u w:val="single" w:color="auto"/>
          <w:color w:val="auto"/>
        </w:rPr>
        <w:t>2029 Notes</w:t>
      </w:r>
      <w:r>
        <w:rPr>
          <w:rFonts w:ascii="Times New Roman" w:cs="Times New Roman" w:eastAsia="Times New Roman" w:hAnsi="Times New Roman"/>
          <w:sz w:val="18"/>
          <w:szCs w:val="18"/>
          <w:color w:val="auto"/>
        </w:rPr>
        <w:t>”), (iii) an issue of its Securities named its 5.450% Notes due October 29, 2031 in the aggregate principal amount of $1,250,000,000 (the “</w:t>
      </w:r>
      <w:r>
        <w:rPr>
          <w:rFonts w:ascii="Times New Roman" w:cs="Times New Roman" w:eastAsia="Times New Roman" w:hAnsi="Times New Roman"/>
          <w:sz w:val="18"/>
          <w:szCs w:val="18"/>
          <w:u w:val="single" w:color="auto"/>
          <w:color w:val="auto"/>
        </w:rPr>
        <w:t>2031 Notes</w:t>
      </w:r>
      <w:r>
        <w:rPr>
          <w:rFonts w:ascii="Times New Roman" w:cs="Times New Roman" w:eastAsia="Times New Roman" w:hAnsi="Times New Roman"/>
          <w:sz w:val="18"/>
          <w:szCs w:val="18"/>
          <w:color w:val="auto"/>
        </w:rPr>
        <w:t>”), (iv) an issue of its Securities named its 5.650% Notes due January 29, 2034 in the aggregate principal amount of $750,000,000 (the “</w:t>
      </w:r>
      <w:r>
        <w:rPr>
          <w:rFonts w:ascii="Times New Roman" w:cs="Times New Roman" w:eastAsia="Times New Roman" w:hAnsi="Times New Roman"/>
          <w:sz w:val="18"/>
          <w:szCs w:val="18"/>
          <w:u w:val="single" w:color="auto"/>
          <w:color w:val="auto"/>
        </w:rPr>
        <w:t>2034 Notes</w:t>
      </w:r>
      <w:r>
        <w:rPr>
          <w:rFonts w:ascii="Times New Roman" w:cs="Times New Roman" w:eastAsia="Times New Roman" w:hAnsi="Times New Roman"/>
          <w:sz w:val="18"/>
          <w:szCs w:val="18"/>
          <w:color w:val="auto"/>
        </w:rPr>
        <w:t>”) and (v) an issue of its Securities named its 5.800% Notes due October 29, 2036 in the aggregate principal amount of $1,150,000,000 (the “</w:t>
      </w:r>
      <w:r>
        <w:rPr>
          <w:rFonts w:ascii="Times New Roman" w:cs="Times New Roman" w:eastAsia="Times New Roman" w:hAnsi="Times New Roman"/>
          <w:sz w:val="18"/>
          <w:szCs w:val="18"/>
          <w:u w:val="single" w:color="auto"/>
          <w:color w:val="auto"/>
        </w:rPr>
        <w:t>2036 Notes</w:t>
      </w:r>
      <w:r>
        <w:rPr>
          <w:rFonts w:ascii="Times New Roman" w:cs="Times New Roman" w:eastAsia="Times New Roman" w:hAnsi="Times New Roman"/>
          <w:sz w:val="18"/>
          <w:szCs w:val="18"/>
          <w:color w:val="auto"/>
        </w:rPr>
        <w:t>” and, collectively with the 2028 Notes, the 2029 Notes, the 2031 Notes and the 2034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WHEREAS, Section 3.1 of the Eleventh Supplemental Indenture provides that if (i) the Exchange Offers are withdrawn (but the First Merger has been consummated and the Notes are issued and Outstanding), or (ii) if the First Merger is consummated, the Notes are issued and Outstanding and the Exchange Offers are not completed within four (4) business days after the expiration date of the Exchange Offers (as extended from time to time in accordance with the terms of the EOM,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the Corporation shall cause Kenvue to execute and deliver to the Trustee a supplemental indenture, whereby Kenvue, as primary obligor and not merely as surety, will irrevocably and fully and unconditionally guarantee to each Holder of the Notes and to the Trustee and its successors and assigns on an unsecured, unsubordinated basis and equal in right of payment to all existing and future unsecured, unsubordinated indebtedness of Kenvue, the punctual payment when due of all monetary obligations of the Corporation under the Indenture (with respect to the Notes) and the Notes, whether for principal of or interest on the Notes (Kenvue, in such capacity as a guarantor,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Exchange Offers have been withdrawn (but the First Merger has been consummated and the Notes are issued and Outstanding)]</w:t>
      </w:r>
    </w:p>
    <w:p>
      <w:pPr>
        <w:spacing w:after="0" w:line="27" w:lineRule="exact"/>
        <w:rPr>
          <w:sz w:val="20"/>
          <w:szCs w:val="20"/>
          <w:color w:val="auto"/>
        </w:rPr>
      </w:pPr>
    </w:p>
    <w:p>
      <w:pPr>
        <w:ind w:left="200" w:hanging="192"/>
        <w:spacing w:after="0"/>
        <w:tabs>
          <w:tab w:leader="none" w:pos="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Merger has been consummated, the Notes are issued and Outstanding and the Exchange Offers have not been completed within four</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business days after the Expiration Date].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Guarantor will receive substantial economic benefit in that the financial performance and condition of the Guarantor is dependent on the financial performance and condition of the Corporation.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Section 901(9) of the Base Indenture provides that the Corporation, without the consent of any Holders, when authorized by a Board Resolution, and the Trustee, at any time and from time to time, may enter into one or more indentures supplemental to the Indenture, to cure any ambiguity, to correct or supplement any provision in the Base Indenture which may be inconsistent with any other provision herein, or to make any other provisions with respect to matters or questions arising under the Base Indenture, provided such action shall not adversely affect the interests of the Holders of Securities of any series in any material respect.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Corporation wishes and has requested that the Trustee join with it in the execution and delivery of this Supplemental Indenture and the Corporation has provided the Trustee with a Board Resolution authorizing the execution of and approving this Supplemental Indenture.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ind w:left="660"/>
        <w:spacing w:after="0"/>
        <w:rPr>
          <w:sz w:val="20"/>
          <w:szCs w:val="20"/>
          <w:color w:val="auto"/>
        </w:rPr>
      </w:pPr>
      <w:r>
        <w:rPr>
          <w:rFonts w:ascii="Times New Roman" w:cs="Times New Roman" w:eastAsia="Times New Roman" w:hAnsi="Times New Roman"/>
          <w:sz w:val="18"/>
          <w:szCs w:val="18"/>
          <w:color w:val="auto"/>
        </w:rPr>
        <w:t>WHEREAS, pursuant to 901(9) of the Base Indenture, the Trustee is authorized to execute and deliver this Supplemental Indenture.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Corporation and the Guarantor have duly authorized the execution and delivery of this Supplemental Indenture, and all things necessary have been done to make this Supplemental Indenture a valid and legally binding agreement of the Corporation and the Guarantor, in accordance with its terms.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THIS SUPPLEMENTAL INDENTURE WITNESSETH: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good and valuable consideration, it is mutually covenanted and agreed, for the equal and proportionate benefit of all Holders of the Notes,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Guarantees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(i)            The Guarantor, as primary obligor and not merely as surety, hereby fully and unconditionally guarantees to each Holder of the Notes and to the Trustee and its successors and assigns (the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on an unsecured, unsubordinated basis and equal in right of payment to all existing and future unsecured, unsubordinated indebtedness of the Guarantor the punctual payment when due of all monetary obligations of the Corporation under the Indenture (with respect to the Notes) and the Notes, whether for principal of or interest on the Notes, on the terms and subject to the conditions set forth in this Supplemental Indenture and agrees to be bound by (and shall be entitled to the benefits of) all other applicable provisions of the Indenture as a Guarantor.</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(ii)            The obligations of the Guarantor shall be limited to the maximum amount as shall, after giving effect to all other contingent and fixed liabilities of the Guarantor, result in the obligations of the Guarantor under the Guarantees not constituting a fraudulent conveyance or fraudulent transfer under applicable law, or being void or unenforceable under any law relating to insolvency of debtors.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(iii)           The Guarantor further agrees that (to the fullest extent permitted by law) its obligations hereunder shall be unconditional, irrespective of the validity, regularity or enforceability of the Indenture, the Notes or the obligations of the Corporation hereunder or thereunder, the absence of any action to enforce the same, any waiver or consent by any Holder with respect to any provisions hereof or thereof, the recovery of any judgment against the Corporation, any action to enforce the same, or any other circumstance that might otherwise constitute a legal or equitable discharge or defense of the Guarantor.</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(iv)          The Guarantor hereby waives (to the fullest extent permitted by law) the benefit of diligence, presentment, demand of payment, filing of claims with a court in the event of insolvency or bankruptcy of the Corporation, any right to require a proceeding first against the Corporation, protest, notice and all demands whatsoever and covenants that (except as otherwise provided in Section 1.2 hereof) its Guarantees shall not be discharged except by complete performance of the obligations contained in the Notes, the Indenture (with respect to the Notes) and the Guarantees. The Guarantees are a guarantee of payment and not of collection.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(v)           The Guarantees shall be continuing Guarantees and shall, subject to Section 1.2 hereof, (i) remain in full force and effect until payment in full of the principal amount of all Outstanding Notes (whether by payment at maturity, purchase, redemption, defeasance, retirement or other acquisition), (ii) be binding upon the Guarantor and (iii) inure to the benefit of and be enforceable by the Trustee, the Holders of Notes and their permitted successors, transferees and assigns.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(vi)          The obligations of the Guarantor hereunder shall continue to be effective or shall be reinstated, as the case may be, if at any time any payment which would otherwise have reduced or terminated the obligations of the Guarantor hereunder and under the Guarantees (whether such payment shall have been made by or on behalf of the Corporation or by or on behalf of the Guarantor) is rescinded or reclaimed from any of the Holders upon the insolvency, bankruptcy, liquidation or reorganization of the Corporation or the Guarantor or otherwise, all as though such payment had not been made.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u w:val="single" w:color="auto"/>
          <w:color w:val="auto"/>
        </w:rPr>
        <w:t>  Termination, Release and Discharge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The Guarantor will be automatically and unconditionally released from its obligations under the Indenture and with respect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Guarantees:</w:t>
      </w:r>
    </w:p>
    <w:p>
      <w:pPr>
        <w:spacing w:after="0" w:line="20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with respect to any series of Notes, as applicable, if the Corporation exercises its legal defeasance option or covenant defeasance option as described under Section 402 or Section 1006 of the Base Indenture with respect to such series of Notes or if the Corporation’s obligations under the Indenture are discharged in accordance with Section 401 of the Indenture with respect to such series of Notes;</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(b)            with respect to all series of Notes, on the date upon which the Guarantor (or any successor entity thereto) ceases to be a subsidiary of the Corporation; or</w:t>
      </w:r>
    </w:p>
    <w:p>
      <w:pPr>
        <w:spacing w:after="0" w:line="162"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(c)            with respect to all series of Notes, upon either (x) the substantially simultaneous termination, release or discharge of indebtedness for borrowed money of the Guarantor (including any release or discharge that would be conditioned on the release or discharge of the Guarantees hereunder or on the termination, release or discharge of any other guarantee or indebtedness for borrowed money) or (y) any other event or circumstance, in each case, as a result of which or upon which the aggregate principal amount of indebtedness for borrowed money issued or borrowed by the Guarantor constitutes no more than 20.0% of the aggregate principal amount of indebtedness for borrowed money of the Corporation and its subsidiaries, on a consolidated basis, as of such time.</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(ii)           At the request of the Corporation, and upon delivery to the Trustee of an Officers’ Certificate and an Opinion of Counsel, each stating that all conditions precedent under the Indenture relating to such release have been complied with, the Trustee will execute any documents reasonably requested by the Corporation evidencing such release.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(iii)          If the Guarantor is released from its obligations hereunder pursuant to this section, it shall cease to be a “Guarantor” as defined in and for purposes 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1.3.          </w:t>
      </w:r>
      <w:r>
        <w:rPr>
          <w:rFonts w:ascii="Times New Roman" w:cs="Times New Roman" w:eastAsia="Times New Roman" w:hAnsi="Times New Roman"/>
          <w:sz w:val="18"/>
          <w:szCs w:val="18"/>
          <w:u w:val="single" w:color="auto"/>
          <w:color w:val="auto"/>
        </w:rPr>
        <w:t>  Notation Not Required</w:t>
      </w:r>
      <w:r>
        <w:rPr>
          <w:rFonts w:ascii="Times New Roman" w:cs="Times New Roman" w:eastAsia="Times New Roman" w:hAnsi="Times New Roman"/>
          <w:sz w:val="18"/>
          <w:szCs w:val="18"/>
          <w:color w:val="auto"/>
        </w:rPr>
        <w:t>. Neither the Corporation nor the Guarantor shall be required to make a notation on the Notes to reflect the Guarantees or any release thereof.</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1.4.          </w:t>
      </w:r>
      <w:r>
        <w:rPr>
          <w:rFonts w:ascii="Times New Roman" w:cs="Times New Roman" w:eastAsia="Times New Roman" w:hAnsi="Times New Roman"/>
          <w:sz w:val="18"/>
          <w:szCs w:val="18"/>
          <w:u w:val="single" w:color="auto"/>
          <w:color w:val="auto"/>
        </w:rPr>
        <w:t>  Waiver of Subrogation</w:t>
      </w:r>
      <w:r>
        <w:rPr>
          <w:rFonts w:ascii="Times New Roman" w:cs="Times New Roman" w:eastAsia="Times New Roman" w:hAnsi="Times New Roman"/>
          <w:sz w:val="18"/>
          <w:szCs w:val="18"/>
          <w:color w:val="auto"/>
        </w:rPr>
        <w:t>. The Guarantor hereby irrevocably waives any claim or other rights which it may now or hereafter acquire against the Corporation that arise from the existence, payment, performance or enforcement of the Guarantor’s obligations under the Guarantees and the Indenture, including, without limitation, any right of subrogation, reimbursement, exoneration, indemnification, and any right to participate in any claim or remedy of any Holder of Notes against the Corporation, whether or not such claim, remedy or right arises in equity, or under contract, statute or common law, including, without limitation, the right to take or receive from the Corporation, directly or indirectly, in cash or other property or by set-off or in any other manner, payment or security on account of such claim or other rights in relation to the Trustee until all monetary obligations of the Corporation under the Indenture (with respect to the Notes) and the Notes, whether for principal of or interest on the Notes, are paid in full. If any amount shall be paid to the Guarantor in violation of the preceding sentence and the Notes shall not have been paid in full, such amount shall have been deemed to have been paid to the Guarantor for the benefit of, and held in trust for the benefit of, the Holders of the Notes, and shall forthwith be paid to the Trustee for the benefit of such Holders to be credited and applied upon the Notes, whether matured or unmatured, in accordance with the terms of the Indenture. The Guarantor acknowledges that it will receive direct and indirect benefits from the financing arrangements contemplated by this Supplemental Indenture and that the waiver set forth in this section is knowingly made in contemplation of such benefits.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u w:val="single" w:color="auto"/>
          <w:color w:val="auto"/>
        </w:rPr>
        <w:t>  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Relation to the Indenture</w:t>
      </w:r>
      <w:r>
        <w:rPr>
          <w:rFonts w:ascii="Times New Roman" w:cs="Times New Roman" w:eastAsia="Times New Roman" w:hAnsi="Times New Roman"/>
          <w:sz w:val="18"/>
          <w:szCs w:val="18"/>
          <w:color w:val="auto"/>
        </w:rPr>
        <w:t>. This Supplemental Indenture constitutes an integral part of the Indenture, and shall be construed in connection with and as part of the Indenture. If any provision of this Supplemental Indenture conflicts with any provision of the Indenture, the provisions of this Supplemental Indenture shall control.</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Definitions in the Supplemental Indenture</w:t>
      </w:r>
      <w:r>
        <w:rPr>
          <w:rFonts w:ascii="Times New Roman" w:cs="Times New Roman" w:eastAsia="Times New Roman" w:hAnsi="Times New Roman"/>
          <w:sz w:val="18"/>
          <w:szCs w:val="18"/>
          <w:color w:val="auto"/>
        </w:rPr>
        <w:t>. For all purposes of this Supplemental Indenture, capitalized terms used herein without definition shall have the meanings specified in the Indenture. If any term is defined in this Supplemental Indenture and in the Base Indenture, such term as it relates to the Notes shall have the meaning assigned to it in this Supplemental Indenture.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Recitals</w:t>
      </w:r>
      <w:r>
        <w:rPr>
          <w:rFonts w:ascii="Times New Roman" w:cs="Times New Roman" w:eastAsia="Times New Roman" w:hAnsi="Times New Roman"/>
          <w:sz w:val="18"/>
          <w:szCs w:val="18"/>
          <w:color w:val="auto"/>
        </w:rPr>
        <w:t>. The recitals and statements herein shall be taken as recitals and statements of the Corporation and the Guarantor and shall not be construed as made by the Trustee or any paying agent, and neither the Trustee nor any paying agent assumes any responsibility for their correctness. Neither the Trustee nor any paying agent makes any representations as to the validity or sufficiency of this Supplemental Indenture.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SUPPLEMENTAL INDENTURE AND THE GUARANTEES SHALL BE GOVERNED BY AND CONSTRUED IN ACCORDANCE WITH THE LAWS OF THE STATE OF NEW YORK.</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Separability Clause</w:t>
      </w:r>
      <w:r>
        <w:rPr>
          <w:rFonts w:ascii="Times New Roman" w:cs="Times New Roman" w:eastAsia="Times New Roman" w:hAnsi="Times New Roman"/>
          <w:sz w:val="18"/>
          <w:szCs w:val="18"/>
          <w:color w:val="auto"/>
        </w:rPr>
        <w:t>. In case any one or more of the provisions contained in this Supplemental Indenture should be invalid, illegal, or unenforceable in any respect, the validity, legality and enforceability of the remaining provisions contained herein shall not in any way be affected, impaired, prejudiced or disturbed thereby.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All covenants and agreements in this Supplemental Indenture by the Corporation and the Guarantor shall bind its respective successors and assigns, whether so expressed or not.</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Supplemental Indenture may be simultaneously executed in several counterparts, and all such counterparts executed and delivered, each as an original, shall constitute but one and the same instrument. The exchange of copies of this Supplemental Indenture and of signature pages that are executed by manual signatures that are scanned, photocopied or faxed or by other electronic signing created on an electronic platform (such as DocuSign) or by digital signing (such as Adobe Sign), in each case that is approved by the Trustee, shall constitute effective execution and delivery of this Supplemental Indenture for all purposes. Signatures of the parties hereto that are executed by manual signatures that are scanned, photocopied or faxed or by other electronic signing created on an electronic platform (such as DocuSign) or by digital signing (such as Adobe Sign), in each case that is approved by the Trustee, shall be deemed to be their original signatures for all purposes of this Supplemental Indenture as to the parties hereto and may be used in lieu of the original.</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(viii)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Article and Section headings herein are for convenience of reference only and shall not affect the construction of any of the provisions hereof.</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(ix)        </w:t>
      </w:r>
      <w:r>
        <w:rPr>
          <w:rFonts w:ascii="Times New Roman" w:cs="Times New Roman" w:eastAsia="Times New Roman" w:hAnsi="Times New Roman"/>
          <w:sz w:val="18"/>
          <w:szCs w:val="18"/>
          <w:u w:val="single" w:color="auto"/>
          <w:color w:val="auto"/>
        </w:rPr>
        <w:t>  Benefits of Supplemental Indenture</w:t>
      </w:r>
      <w:r>
        <w:rPr>
          <w:rFonts w:ascii="Times New Roman" w:cs="Times New Roman" w:eastAsia="Times New Roman" w:hAnsi="Times New Roman"/>
          <w:sz w:val="18"/>
          <w:szCs w:val="18"/>
          <w:color w:val="auto"/>
        </w:rPr>
        <w:t>. Nothing in this Supplemental Indenture, expressed or implied, shall give to any Person, other than the parties hereto, the Paying Agent and their respective successors and the Holders, any benefit or any legal or equitable right, remedy or claim under this Supplemental Indenture. Nothing in this Supplemental Indenture shall apply to or amend or supplement any series of Securities issued or issuable under the Indenture other than the Notes.</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Trust Indenture Act.</w:t>
      </w:r>
      <w:r>
        <w:rPr>
          <w:rFonts w:ascii="Times New Roman" w:cs="Times New Roman" w:eastAsia="Times New Roman" w:hAnsi="Times New Roman"/>
          <w:sz w:val="18"/>
          <w:szCs w:val="18"/>
          <w:color w:val="auto"/>
        </w:rPr>
        <w:t xml:space="preserve"> If any provision in this Supplemental Indenture limits, qualifies or conflicts with a provision of the Trust Indenture Act which is required to be included herein by any provision of the Trust Indenture Act, such required provision shall prevail.</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Intentionally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we have hereunto signed our names as of the _____ day of __________ _______.</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2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KENVUE LLC</w:t>
      </w:r>
    </w:p>
    <w:p>
      <w:pPr>
        <w:spacing w:after="0" w:line="22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434340</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40"/>
          </w:cols>
          <w:pgMar w:left="980" w:top="900" w:right="127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CERTIFICATE OF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619100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75261-9100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 as Trustee/Registrar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Bondholder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 Fillmore Ave 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Paul, MN 55107-1402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1-800-934-6802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 _____ % Senior Notes due 20_____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Reference is hereby made to that certain First Amended and Restated Indenture, dated as of March 1, 1988, (as amended, supplemented or otherwise modified from time to time, the “Indenture”) among Kimberly-Clark Corporation, a corporation duly organized and existing under the laws of the State of Delaware (the “Corporation”), U.S. Bank Trust Company, National Association, a national banking association duly incorporated and existing under the laws of the United States, as successor trustee in respect of the Future Notes (as defined in the Eighth Supplemental Indenture referred to below) (the “Trustee”) and The Bank of New York Mellon Trust Company, N.A., as successor trustee (the “First Trustee”) as amended and supplemented by the First Supplemental Indenture, dated as of November 6, 1992, the Second Supplemental Indenture, dated as of May 25, 1994, the Third Supplemental Indenture, dated as of March 14, 2002, the Fourth Supplemental Indenture, dated as of December 19, 2006, the Fifth Supplemental Indenture, dated as of February 9, 2011, the Sixth Supplemental Indenture, dated as of September 7, 2017, the Seventh Supplemental Indenture, dated as of September 11, 2020, the Eighth Supplemental Indenture, dated as of October 27, 2021, the Ninth Supplemental Indenture, dated as of November 2, 2021, the Tenth Supplemental Indenture, dated as of February 16, 2023 and the Eleventh Supplemental Indenture, dated as of October 29, 2026 (the “</w:t>
      </w:r>
      <w:r>
        <w:rPr>
          <w:rFonts w:ascii="Times New Roman" w:cs="Times New Roman" w:eastAsia="Times New Roman" w:hAnsi="Times New Roman"/>
          <w:sz w:val="18"/>
          <w:szCs w:val="18"/>
          <w:u w:val="single" w:color="auto"/>
          <w:color w:val="auto"/>
        </w:rPr>
        <w:t>Eleventh Supplemental Indenture</w:t>
      </w:r>
      <w:r>
        <w:rPr>
          <w:rFonts w:ascii="Times New Roman" w:cs="Times New Roman" w:eastAsia="Times New Roman" w:hAnsi="Times New Roman"/>
          <w:sz w:val="18"/>
          <w:szCs w:val="18"/>
          <w:color w:val="auto"/>
        </w:rPr>
        <w:t>”), related to the _____% Senior Notes due 20_____ (the “Notes”). Capitalized terms used but not defined herein shall have the meanings given to them in the Eleventh Supplemental Indenture.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 (the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owns and proposes to transfer the Note[s] or interest in such Note[s] specified in Annex A hereto,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$_____ in such Note[s] or interests (the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_____________ to _____________ (the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as further specified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Annex A hereto. In connection with any Transfer, the Transferor hereby certifies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[CHECK ALL THAT APPLY]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jc w:val="both"/>
        <w:ind w:firstLine="656"/>
        <w:spacing w:after="0" w:line="217" w:lineRule="exact"/>
        <w:tabs>
          <w:tab w:leader="none" w:pos="855" w:val="left"/>
        </w:tabs>
        <w:numPr>
          <w:ilvl w:val="0"/>
          <w:numId w:val="3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CHECK IF TRANSFEREE WILL TAKE DELIVERY OF A BENEFICIAL INTEREST IN THE RELEVANT RULE 144A GLOBAL NOTE OR RELEVANT DEFINITIVE NOTE PURSUANT TO RULE 144A. The Transfer is being effected pursuant to and in accordance with Rule 144A under the United States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accordingly, the Transferor hereby further certifies that the beneficial interest or definitive Note is being transferred to a Person that is purchasing the beneficial interest or definitive Note for its own account, or for one or more accounts with respect to which such Person exercises sole investment discretion, and such Person and each such account is a Person the Transferor reasonably believes is a “qualified institutional buyer” within the meaning of Rule 144A in a transaction meeting the requirements of Rule 144A, and such Transfer is in compliance with any applicable securities laws of the states of the United States and other jurisdictions.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56"/>
        <w:spacing w:after="0" w:line="216" w:lineRule="exact"/>
        <w:tabs>
          <w:tab w:leader="none" w:pos="828" w:val="left"/>
        </w:tabs>
        <w:numPr>
          <w:ilvl w:val="0"/>
          <w:numId w:val="3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CHECK IF TRANSFEREE WILL TAKE DELIVERY OF A BENEFICIAL INTEREST IN THE RELEVANT REGULATION S GLOBAL NOTE OR RELEVANT DEFINITIVE NOTE PURSUANT TO REGULATION S. 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applicable Restricted Period, the transfer is not being made to a U.S. Person or for the account or benefit of a U.S. Person (other than a distributor) and the interest transferred will be held immediately thereafter through Euroclear or Clearstream. Upon consummation of the proposed transfer in accordance with the terms of the Indenture, the transferred beneficial interest or definitive Note will be subject to the restrictions on Transfer enumerated in the Indenture and the Securities Act.</w:t>
      </w:r>
    </w:p>
    <w:p>
      <w:pPr>
        <w:spacing w:after="0" w:line="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2" w:lineRule="exact"/>
        <w:rPr>
          <w:sz w:val="20"/>
          <w:szCs w:val="20"/>
          <w:color w:val="auto"/>
        </w:rPr>
      </w:pPr>
    </w:p>
    <w:p>
      <w:pPr>
        <w:jc w:val="both"/>
        <w:ind w:firstLine="656"/>
        <w:spacing w:after="0" w:line="217" w:lineRule="exact"/>
        <w:tabs>
          <w:tab w:leader="none" w:pos="841" w:val="left"/>
        </w:tabs>
        <w:numPr>
          <w:ilvl w:val="0"/>
          <w:numId w:val="3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CHECK AND COMPLETE IF TRANSFEREE WILL TAKE DELIVERY OF A BENEFICIAL INTEREST IN THE RELEVANT RULE 144A GLOBAL NOTE OR RELEVANT DEFINITIVE NOTE PURSUANT TO ANY PROVISION OF THE SECURITIES ACT OTHER THAN RULE 144A OR REGULATION S. The Transfer is being effected in compliance with the transfer restrictions applicable to beneficial interests in Transfer Restricted Notes and pursuant to and in accordance with the Securities Act and any applicable securities laws of the states of the United States and other jurisdictions, and accordingly the Transferor hereby further certifies that (check one):</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pursuant to and in accordance with Rule 144 under the Securities Act; or</w:t>
      </w:r>
    </w:p>
    <w:p>
      <w:pPr>
        <w:spacing w:after="0" w:line="1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7" w:lineRule="exact"/>
        <w:rPr>
          <w:rFonts w:ascii="Times New Roman" w:cs="Times New Roman" w:eastAsia="Times New Roman" w:hAnsi="Times New Roman"/>
          <w:sz w:val="18"/>
          <w:szCs w:val="18"/>
          <w:color w:val="auto"/>
        </w:rPr>
      </w:pPr>
    </w:p>
    <w:p>
      <w:pPr>
        <w:ind w:left="130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to the Corporation or a subsidiary thereof; or</w:t>
      </w:r>
    </w:p>
    <w:p>
      <w:pPr>
        <w:spacing w:after="0" w:line="1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7" w:lineRule="exact"/>
        <w:rPr>
          <w:rFonts w:ascii="Times New Roman" w:cs="Times New Roman" w:eastAsia="Times New Roman" w:hAnsi="Times New Roman"/>
          <w:sz w:val="18"/>
          <w:szCs w:val="18"/>
          <w:color w:val="auto"/>
        </w:rPr>
      </w:pPr>
    </w:p>
    <w:p>
      <w:pPr>
        <w:ind w:left="130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to an institutional “accredited investor” within the meaning of Rule 501(a)(1), (2), (3), (7) or</w:t>
      </w:r>
    </w:p>
    <w:p>
      <w:pPr>
        <w:spacing w:after="0" w:line="10" w:lineRule="exact"/>
        <w:rPr>
          <w:rFonts w:ascii="Times New Roman" w:cs="Times New Roman" w:eastAsia="Times New Roman" w:hAnsi="Times New Roman"/>
          <w:sz w:val="18"/>
          <w:szCs w:val="18"/>
          <w:color w:val="auto"/>
        </w:rPr>
      </w:pPr>
    </w:p>
    <w:p>
      <w:pPr>
        <w:jc w:val="both"/>
        <w:ind w:left="66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under Regulation D promulgated under the Securities Act that is not a “qualified institutional buyer” and that is purchasing for its own account or for the account of another institutional accredited investor, in each case in a minimum principal amount of the Notes of $250,000, for investment purposes and not with a view to or for offer or sale in connection with any distribution in violation of the Securities Act; or</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pursuant to another available exemption from the registration requirements of the Securities Act.</w:t>
      </w:r>
    </w:p>
    <w:p>
      <w:pPr>
        <w:spacing w:after="0" w:line="1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7" w:lineRule="exact"/>
        <w:rPr>
          <w:rFonts w:ascii="Times New Roman" w:cs="Times New Roman" w:eastAsia="Times New Roman" w:hAnsi="Times New Roman"/>
          <w:sz w:val="18"/>
          <w:szCs w:val="18"/>
          <w:color w:val="auto"/>
        </w:rPr>
      </w:pPr>
    </w:p>
    <w:p>
      <w:pPr>
        <w:ind w:right="20" w:firstLine="656"/>
        <w:spacing w:after="0" w:line="216" w:lineRule="exact"/>
        <w:tabs>
          <w:tab w:leader="none" w:pos="841" w:val="left"/>
        </w:tabs>
        <w:numPr>
          <w:ilvl w:val="0"/>
          <w:numId w:val="3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CHECK IF TRANSFEREE WILL TAKE DELIVERY OF A BENEFICIAL INTEREST IN A NOTE THAT DOES NOT BEAR, OR IS NOT REQUIRED TO BEAR, THE TRANSFER RESTRICTED NOTES LEGEND.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firstLine="648"/>
        <w:spacing w:after="0" w:line="21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CHECK IF TRANSFER IS PURSUANT TO RULE 144. (i) The Transfer is being effected pursuant to and in accordance with Rule 144 under the Securities Act and in compliance with the transfer restrictions contained in the Indenture and any applicable securities laws of the states of the United States and other jurisdictions and (ii) the restrictions on transfer contained in the Indenture and the Restricted Notes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Restricted Notes Legend printed on the Transfer Restricted Notes and in the Indenture.</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firstLine="648"/>
        <w:spacing w:after="0" w:line="21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CHECK IF TRANSFER IS PURSUANT TO AN EFFECTIVE REGISTRATION STATEMENT. The Transfer is being effected pursuant to an effective registration statement under the Securities Act. Upon consummation of the proposed Transfer in accordance with the terms of the Indenture, the transferred beneficial interest or definitive Note will no longer be subject to the restrictions on transfer enumerated in the Restricted Notes Legend printed on the Transfer Restricted Notes and in the Indenture.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If box 2, 3(a) 3(c), 3(d) or 4(a) is checked, the Corporation and the Trustee may require, prior to registering any such Transfer, such legal opinions, certifications and other information as the Corporation and the Trustee may reasonably request to confirm that such Transfer is being made pursuant to an exemption from, or in a transaction not subject to, the registration requirements of the Securities 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jc w:val="both"/>
        <w:ind w:firstLine="656"/>
        <w:spacing w:after="0" w:line="217" w:lineRule="exact"/>
        <w:tabs>
          <w:tab w:leader="none" w:pos="841" w:val="left"/>
        </w:tabs>
        <w:numPr>
          <w:ilvl w:val="0"/>
          <w:numId w:val="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CHECK AND COMPLETE IF THE TRANSFEROR OWNS AND PROPOSES TO TRANSFER A BENEFICIAL INTEREST IN THE RELEVANT REGULATION S GLOBAL NOTE OR RELEVANT DEFINITIVE NOTE PURSUANT TO REGULATION S AND THE TRANSFEREE WILL TAKE DELIVERY OF A BENEFICIAL INTEREST IN THE RELEVANT RULE 144A GLOBAL NOTE OR RELEVANT DEFINITIVE NOTE PRIOR TO THE EXPIRY OF THE RESTRICTED PERIOD. The Transferor hereby further certifies that the beneficial interest or definitive Note is being transferred to a Person that is purchasing the beneficial interest or definitive Note for its own account, or for one or more accounts with respect to which such Person exercises sole investment discretion, and such Person and each such account (other than a distributor) is not a U.S. Person, and such Transfer is in compliance with any applicable securities laws of the states of the United States and other jurisdictions.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and the statements contained herein are made for your benefit and the benefit of the Corporation.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7"/>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[Insert Name of Transferor]</w:t>
            </w: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3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53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w w:val="95"/>
              </w:rPr>
              <w:t>Name:</w:t>
            </w: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60" w:type="dxa"/>
            <w:vAlign w:val="bottom"/>
          </w:tcPr>
          <w:p>
            <w:pPr>
              <w:spacing w:after="0"/>
              <w:rPr>
                <w:sz w:val="18"/>
                <w:szCs w:val="18"/>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ANNEX A TO CERTIFICATE OF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owns and proposes to transfer the following:</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[CHECK ONE OF (a) OR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1300" w:hanging="644"/>
        <w:spacing w:after="0" w:line="207" w:lineRule="exact"/>
        <w:tabs>
          <w:tab w:leader="none" w:pos="1300" w:val="left"/>
        </w:tabs>
        <w:numPr>
          <w:ilvl w:val="0"/>
          <w:numId w:val="3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 w:lineRule="exact"/>
        <w:rPr>
          <w:sz w:val="20"/>
          <w:szCs w:val="20"/>
          <w:color w:val="auto"/>
        </w:rPr>
      </w:pPr>
    </w:p>
    <w:p>
      <w:pPr>
        <w:ind w:left="1960" w:hanging="656"/>
        <w:spacing w:after="0" w:line="207" w:lineRule="exact"/>
        <w:tabs>
          <w:tab w:leader="none" w:pos="1960" w:val="left"/>
        </w:tabs>
        <w:numPr>
          <w:ilvl w:val="0"/>
          <w:numId w:val="3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144A Global Note ([CUSIP: ]), or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 w:lineRule="exact"/>
        <w:rPr>
          <w:sz w:val="20"/>
          <w:szCs w:val="20"/>
          <w:color w:val="auto"/>
        </w:rPr>
      </w:pPr>
    </w:p>
    <w:p>
      <w:pPr>
        <w:ind w:left="1960" w:hanging="656"/>
        <w:spacing w:after="0" w:line="207" w:lineRule="exact"/>
        <w:tabs>
          <w:tab w:leader="none" w:pos="1960" w:val="left"/>
        </w:tabs>
        <w:numPr>
          <w:ilvl w:val="0"/>
          <w:numId w:val="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Regulation S Global Note ([CUSIP: ]), or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 w:lineRule="exact"/>
        <w:rPr>
          <w:sz w:val="20"/>
          <w:szCs w:val="20"/>
          <w:color w:val="auto"/>
        </w:rPr>
      </w:pPr>
    </w:p>
    <w:p>
      <w:pPr>
        <w:ind w:left="1300" w:hanging="644"/>
        <w:spacing w:after="0" w:line="207" w:lineRule="exact"/>
        <w:tabs>
          <w:tab w:leader="none" w:pos="1300" w:val="left"/>
        </w:tabs>
        <w:numPr>
          <w:ilvl w:val="0"/>
          <w:numId w:val="4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Restricted Definitive Note.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Transfer the Transferee will hold: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[CHECK 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 w:lineRule="exact"/>
        <w:rPr>
          <w:sz w:val="20"/>
          <w:szCs w:val="20"/>
          <w:color w:val="auto"/>
        </w:rPr>
      </w:pPr>
    </w:p>
    <w:p>
      <w:pPr>
        <w:ind w:left="1960" w:hanging="656"/>
        <w:spacing w:after="0" w:line="207" w:lineRule="exact"/>
        <w:tabs>
          <w:tab w:leader="none" w:pos="1960" w:val="left"/>
        </w:tabs>
        <w:numPr>
          <w:ilvl w:val="0"/>
          <w:numId w:val="4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144A Global Note ([CUSIP: ]), or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 w:lineRule="exact"/>
        <w:rPr>
          <w:sz w:val="20"/>
          <w:szCs w:val="20"/>
          <w:color w:val="auto"/>
        </w:rPr>
      </w:pPr>
    </w:p>
    <w:p>
      <w:pPr>
        <w:ind w:left="1960" w:hanging="656"/>
        <w:spacing w:after="0" w:line="207" w:lineRule="exact"/>
        <w:tabs>
          <w:tab w:leader="none" w:pos="1960" w:val="left"/>
        </w:tabs>
        <w:numPr>
          <w:ilvl w:val="0"/>
          <w:numId w:val="4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Regulation S Global Note ([CUSIP: ]), or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 w:lineRule="exact"/>
        <w:rPr>
          <w:sz w:val="20"/>
          <w:szCs w:val="20"/>
          <w:color w:val="auto"/>
        </w:rPr>
      </w:pPr>
    </w:p>
    <w:p>
      <w:pPr>
        <w:ind w:left="1960" w:hanging="656"/>
        <w:spacing w:after="0" w:line="207" w:lineRule="exact"/>
        <w:tabs>
          <w:tab w:leader="none" w:pos="1960" w:val="left"/>
        </w:tabs>
        <w:numPr>
          <w:ilvl w:val="0"/>
          <w:numId w:val="4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Unrestricted Global Note ([   ] [   ]), or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 w:lineRule="exact"/>
        <w:rPr>
          <w:sz w:val="20"/>
          <w:szCs w:val="20"/>
          <w:color w:val="auto"/>
        </w:rPr>
      </w:pPr>
    </w:p>
    <w:p>
      <w:pPr>
        <w:ind w:left="1300" w:hanging="644"/>
        <w:spacing w:after="0" w:line="207" w:lineRule="exact"/>
        <w:tabs>
          <w:tab w:leader="none" w:pos="1300" w:val="left"/>
        </w:tabs>
        <w:numPr>
          <w:ilvl w:val="0"/>
          <w:numId w:val="4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Restricted Definitive Note; or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 w:lineRule="exact"/>
        <w:rPr>
          <w:sz w:val="20"/>
          <w:szCs w:val="20"/>
          <w:color w:val="auto"/>
        </w:rPr>
      </w:pPr>
    </w:p>
    <w:p>
      <w:pPr>
        <w:ind w:left="1300" w:hanging="644"/>
        <w:spacing w:after="0" w:line="207" w:lineRule="exact"/>
        <w:tabs>
          <w:tab w:leader="none" w:pos="130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Unrestricted Definitive Note, in accordance with the terms of the Indenture.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220"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80" w:type="dxa"/>
            <w:vAlign w:val="bottom"/>
          </w:tcPr>
          <w:p>
            <w:pPr>
              <w:jc w:val="center"/>
              <w:ind w:right="3670"/>
              <w:spacing w:after="0"/>
              <w:rPr>
                <w:sz w:val="20"/>
                <w:szCs w:val="20"/>
                <w:color w:val="auto"/>
              </w:rPr>
            </w:pPr>
            <w:r>
              <w:rPr>
                <w:rFonts w:ascii="Times New Roman" w:cs="Times New Roman" w:eastAsia="Times New Roman" w:hAnsi="Times New Roman"/>
                <w:sz w:val="18"/>
                <w:szCs w:val="18"/>
                <w:b w:val="1"/>
                <w:bCs w:val="1"/>
                <w:color w:val="auto"/>
                <w:w w:val="98"/>
              </w:rPr>
              <w:t>KIMBERLY-CLARK CORPORATION</w:t>
            </w:r>
          </w:p>
        </w:tc>
      </w:tr>
      <w:tr>
        <w:trPr>
          <w:trHeight w:val="414"/>
        </w:trPr>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80" w:type="dxa"/>
            <w:vAlign w:val="bottom"/>
          </w:tcPr>
          <w:p>
            <w:pPr>
              <w:jc w:val="center"/>
              <w:ind w:right="3670"/>
              <w:spacing w:after="0"/>
              <w:rPr>
                <w:sz w:val="20"/>
                <w:szCs w:val="20"/>
                <w:color w:val="auto"/>
              </w:rPr>
            </w:pPr>
            <w:r>
              <w:rPr>
                <w:rFonts w:ascii="Times New Roman" w:cs="Times New Roman" w:eastAsia="Times New Roman" w:hAnsi="Times New Roman"/>
                <w:sz w:val="18"/>
                <w:szCs w:val="18"/>
                <w:color w:val="auto"/>
                <w:w w:val="99"/>
              </w:rPr>
              <w:t>$750,000,000 5.100% Senior Notes due 2028</w:t>
            </w:r>
          </w:p>
        </w:tc>
      </w:tr>
      <w:tr>
        <w:trPr>
          <w:trHeight w:val="216"/>
        </w:trPr>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80" w:type="dxa"/>
            <w:vAlign w:val="bottom"/>
          </w:tcPr>
          <w:p>
            <w:pPr>
              <w:jc w:val="center"/>
              <w:ind w:right="3650"/>
              <w:spacing w:after="0"/>
              <w:rPr>
                <w:sz w:val="20"/>
                <w:szCs w:val="20"/>
                <w:color w:val="auto"/>
              </w:rPr>
            </w:pPr>
            <w:r>
              <w:rPr>
                <w:rFonts w:ascii="Times New Roman" w:cs="Times New Roman" w:eastAsia="Times New Roman" w:hAnsi="Times New Roman"/>
                <w:sz w:val="18"/>
                <w:szCs w:val="18"/>
                <w:color w:val="auto"/>
              </w:rPr>
              <w:t>$1,000,000,000 5.300% Senior Notes due 2029</w:t>
            </w:r>
          </w:p>
        </w:tc>
      </w:tr>
      <w:tr>
        <w:trPr>
          <w:trHeight w:val="216"/>
        </w:trPr>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80" w:type="dxa"/>
            <w:vAlign w:val="bottom"/>
          </w:tcPr>
          <w:p>
            <w:pPr>
              <w:jc w:val="center"/>
              <w:ind w:right="3650"/>
              <w:spacing w:after="0"/>
              <w:rPr>
                <w:sz w:val="20"/>
                <w:szCs w:val="20"/>
                <w:color w:val="auto"/>
              </w:rPr>
            </w:pPr>
            <w:r>
              <w:rPr>
                <w:rFonts w:ascii="Times New Roman" w:cs="Times New Roman" w:eastAsia="Times New Roman" w:hAnsi="Times New Roman"/>
                <w:sz w:val="18"/>
                <w:szCs w:val="18"/>
                <w:color w:val="auto"/>
              </w:rPr>
              <w:t>$1,250,000,000 5.450% Senior Notes due 2031</w:t>
            </w:r>
          </w:p>
        </w:tc>
      </w:tr>
      <w:tr>
        <w:trPr>
          <w:trHeight w:val="216"/>
        </w:trPr>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80" w:type="dxa"/>
            <w:vAlign w:val="bottom"/>
          </w:tcPr>
          <w:p>
            <w:pPr>
              <w:jc w:val="center"/>
              <w:ind w:right="3670"/>
              <w:spacing w:after="0"/>
              <w:rPr>
                <w:sz w:val="20"/>
                <w:szCs w:val="20"/>
                <w:color w:val="auto"/>
              </w:rPr>
            </w:pPr>
            <w:r>
              <w:rPr>
                <w:rFonts w:ascii="Times New Roman" w:cs="Times New Roman" w:eastAsia="Times New Roman" w:hAnsi="Times New Roman"/>
                <w:sz w:val="18"/>
                <w:szCs w:val="18"/>
                <w:color w:val="auto"/>
                <w:w w:val="99"/>
              </w:rPr>
              <w:t>$750,000,000 5.650% Senior Notes due 2034</w:t>
            </w:r>
          </w:p>
        </w:tc>
      </w:tr>
      <w:tr>
        <w:trPr>
          <w:trHeight w:val="234"/>
        </w:trPr>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80" w:type="dxa"/>
            <w:vAlign w:val="bottom"/>
          </w:tcPr>
          <w:p>
            <w:pPr>
              <w:jc w:val="center"/>
              <w:ind w:right="3650"/>
              <w:spacing w:after="0"/>
              <w:rPr>
                <w:sz w:val="20"/>
                <w:szCs w:val="20"/>
                <w:color w:val="auto"/>
              </w:rPr>
            </w:pPr>
            <w:r>
              <w:rPr>
                <w:rFonts w:ascii="Times New Roman" w:cs="Times New Roman" w:eastAsia="Times New Roman" w:hAnsi="Times New Roman"/>
                <w:sz w:val="18"/>
                <w:szCs w:val="18"/>
                <w:color w:val="auto"/>
              </w:rPr>
              <w:t>$1,150,000,000 5.800% Senior Notes due 2036</w:t>
            </w:r>
          </w:p>
        </w:tc>
      </w:tr>
      <w:tr>
        <w:trPr>
          <w:trHeight w:val="432"/>
        </w:trPr>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80" w:type="dxa"/>
            <w:vAlign w:val="bottom"/>
          </w:tcPr>
          <w:p>
            <w:pPr>
              <w:jc w:val="center"/>
              <w:ind w:right="3670"/>
              <w:spacing w:after="0"/>
              <w:rPr>
                <w:sz w:val="20"/>
                <w:szCs w:val="20"/>
                <w:color w:val="auto"/>
              </w:rPr>
            </w:pPr>
            <w:r>
              <w:rPr>
                <w:rFonts w:ascii="Times New Roman" w:cs="Times New Roman" w:eastAsia="Times New Roman" w:hAnsi="Times New Roman"/>
                <w:sz w:val="18"/>
                <w:szCs w:val="18"/>
                <w:b w:val="1"/>
                <w:bCs w:val="1"/>
                <w:color w:val="auto"/>
                <w:w w:val="99"/>
              </w:rPr>
              <w:t>REGISTRATION RIGHTS AGREEMENT</w:t>
            </w:r>
          </w:p>
        </w:tc>
      </w:tr>
      <w:tr>
        <w:trPr>
          <w:trHeight w:val="432"/>
        </w:trPr>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80" w:type="dxa"/>
            <w:vAlign w:val="bottom"/>
          </w:tcPr>
          <w:p>
            <w:pPr>
              <w:jc w:val="center"/>
              <w:ind w:right="3670"/>
              <w:spacing w:after="0"/>
              <w:rPr>
                <w:sz w:val="20"/>
                <w:szCs w:val="20"/>
                <w:color w:val="auto"/>
              </w:rPr>
            </w:pPr>
            <w:r>
              <w:rPr>
                <w:rFonts w:ascii="Times New Roman" w:cs="Times New Roman" w:eastAsia="Times New Roman" w:hAnsi="Times New Roman"/>
                <w:sz w:val="18"/>
                <w:szCs w:val="18"/>
                <w:color w:val="auto"/>
                <w:w w:val="99"/>
              </w:rPr>
              <w:t>Dated as of October 29, 2026</w:t>
            </w:r>
          </w:p>
        </w:tc>
      </w:tr>
      <w:tr>
        <w:trPr>
          <w:trHeight w:val="216"/>
        </w:trPr>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80" w:type="dxa"/>
            <w:vAlign w:val="bottom"/>
            <w:tcBorders>
              <w:bottom w:val="single" w:sz="8" w:color="auto"/>
            </w:tcBorders>
          </w:tcPr>
          <w:p>
            <w:pPr>
              <w:spacing w:after="0"/>
              <w:rPr>
                <w:sz w:val="18"/>
                <w:szCs w:val="18"/>
                <w:color w:val="auto"/>
              </w:rPr>
            </w:pPr>
          </w:p>
        </w:tc>
      </w:tr>
      <w:tr>
        <w:trPr>
          <w:trHeight w:val="28"/>
        </w:trPr>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80" w:type="dxa"/>
            <w:vAlign w:val="bottom"/>
            <w:tcBorders>
              <w:bottom w:val="single" w:sz="8" w:color="auto"/>
            </w:tcBorders>
          </w:tcPr>
          <w:p>
            <w:pPr>
              <w:spacing w:after="0"/>
              <w:rPr>
                <w:sz w:val="2"/>
                <w:szCs w:val="2"/>
                <w:color w:val="auto"/>
              </w:rPr>
            </w:pPr>
          </w:p>
        </w:tc>
      </w:tr>
      <w:tr>
        <w:trPr>
          <w:trHeight w:val="432"/>
        </w:trPr>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80" w:type="dxa"/>
            <w:vAlign w:val="bottom"/>
          </w:tcPr>
          <w:p>
            <w:pPr>
              <w:jc w:val="center"/>
              <w:ind w:right="3650"/>
              <w:spacing w:after="0"/>
              <w:rPr>
                <w:sz w:val="20"/>
                <w:szCs w:val="20"/>
                <w:color w:val="auto"/>
              </w:rPr>
            </w:pPr>
            <w:r>
              <w:rPr>
                <w:rFonts w:ascii="Times New Roman" w:cs="Times New Roman" w:eastAsia="Times New Roman" w:hAnsi="Times New Roman"/>
                <w:sz w:val="18"/>
                <w:szCs w:val="18"/>
                <w:color w:val="auto"/>
                <w:w w:val="98"/>
              </w:rPr>
              <w:t>TABLE OF CONTENTS</w:t>
            </w:r>
          </w:p>
        </w:tc>
      </w:tr>
      <w:tr>
        <w:trPr>
          <w:trHeight w:val="392"/>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5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DEFINITIONS</w:t>
            </w:r>
          </w:p>
        </w:tc>
        <w:tc>
          <w:tcPr>
            <w:tcW w:w="7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27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5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EXCHANGE OFFER</w:t>
            </w:r>
          </w:p>
        </w:tc>
        <w:tc>
          <w:tcPr>
            <w:tcW w:w="7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27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9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SHELF REGISTRATION</w:t>
            </w:r>
          </w:p>
        </w:tc>
        <w:tc>
          <w:tcPr>
            <w:tcW w:w="1680" w:type="dxa"/>
            <w:vAlign w:val="bottom"/>
            <w:gridSpan w:val="6"/>
          </w:tcPr>
          <w:p>
            <w:pPr>
              <w:spacing w:after="0"/>
              <w:rPr>
                <w:sz w:val="24"/>
                <w:szCs w:val="24"/>
                <w:color w:val="auto"/>
              </w:rPr>
            </w:pPr>
          </w:p>
        </w:tc>
        <w:tc>
          <w:tcPr>
            <w:tcW w:w="7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5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ADDITIONAL INTEREST</w:t>
            </w:r>
          </w:p>
        </w:tc>
        <w:tc>
          <w:tcPr>
            <w:tcW w:w="7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27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25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8"/>
              </w:rPr>
              <w:t>REGISTRATION PROCEDURES</w:t>
            </w:r>
          </w:p>
        </w:tc>
        <w:tc>
          <w:tcPr>
            <w:tcW w:w="1060" w:type="dxa"/>
            <w:vAlign w:val="bottom"/>
            <w:gridSpan w:val="3"/>
          </w:tcPr>
          <w:p>
            <w:pPr>
              <w:spacing w:after="0"/>
              <w:rPr>
                <w:sz w:val="24"/>
                <w:szCs w:val="24"/>
                <w:color w:val="auto"/>
              </w:rPr>
            </w:pPr>
          </w:p>
        </w:tc>
        <w:tc>
          <w:tcPr>
            <w:tcW w:w="7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22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8"/>
              </w:rPr>
              <w:t>REGISTRATION EXPENSES</w:t>
            </w:r>
          </w:p>
        </w:tc>
        <w:tc>
          <w:tcPr>
            <w:tcW w:w="1340" w:type="dxa"/>
            <w:vAlign w:val="bottom"/>
            <w:gridSpan w:val="4"/>
          </w:tcPr>
          <w:p>
            <w:pPr>
              <w:spacing w:after="0"/>
              <w:rPr>
                <w:sz w:val="24"/>
                <w:szCs w:val="24"/>
                <w:color w:val="auto"/>
              </w:rPr>
            </w:pPr>
          </w:p>
        </w:tc>
        <w:tc>
          <w:tcPr>
            <w:tcW w:w="7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344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9"/>
              </w:rPr>
              <w:t>INDEMNIFICATION AND CONTRIBUTION</w:t>
            </w:r>
          </w:p>
        </w:tc>
        <w:tc>
          <w:tcPr>
            <w:tcW w:w="140" w:type="dxa"/>
            <w:vAlign w:val="bottom"/>
          </w:tcPr>
          <w:p>
            <w:pPr>
              <w:spacing w:after="0"/>
              <w:rPr>
                <w:sz w:val="24"/>
                <w:szCs w:val="24"/>
                <w:color w:val="auto"/>
              </w:rPr>
            </w:pPr>
          </w:p>
        </w:tc>
        <w:tc>
          <w:tcPr>
            <w:tcW w:w="7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35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RULE 144A</w:t>
            </w:r>
          </w:p>
        </w:tc>
        <w:tc>
          <w:tcPr>
            <w:tcW w:w="7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27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35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NO UNDERWRITTEN REGISTRATIONS</w:t>
            </w:r>
          </w:p>
        </w:tc>
        <w:tc>
          <w:tcPr>
            <w:tcW w:w="7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00" w:type="dxa"/>
            <w:vAlign w:val="bottom"/>
            <w:gridSpan w:val="3"/>
            <w:shd w:val="clear" w:color="auto" w:fill="000000"/>
          </w:tcPr>
          <w:p>
            <w:pPr>
              <w:spacing w:after="0" w:line="20" w:lineRule="exact"/>
              <w:rPr>
                <w:sz w:val="1"/>
                <w:szCs w:val="1"/>
                <w:color w:val="auto"/>
              </w:rPr>
            </w:pPr>
          </w:p>
        </w:tc>
        <w:tc>
          <w:tcPr>
            <w:tcW w:w="1560" w:type="dxa"/>
            <w:vAlign w:val="bottom"/>
            <w:gridSpan w:val="5"/>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277"/>
        </w:trPr>
        <w:tc>
          <w:tcPr>
            <w:tcW w:w="3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10. MISCELLANEOUS</w:t>
            </w:r>
          </w:p>
        </w:tc>
        <w:tc>
          <w:tcPr>
            <w:tcW w:w="7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53"/>
        </w:trPr>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140" w:name="page141"/>
    <w:bookmarkEnd w:id="140"/>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THIS REGISTRATION RIGHTS AGREEMENT is dated as of October 29, 2026 (as amended, restated, supplemented or otherwise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is entered into by and among Kimberly-Clark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J.P. Morgan Securities LLC, Citigroup Global Markets Inc. and Morgan Stanley &amp; Co. LLC, as representatives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of the several initial purchasers named on Schedule I hereto (together with the Representatives, the “</w:t>
      </w:r>
      <w:r>
        <w:rPr>
          <w:rFonts w:ascii="Times New Roman" w:cs="Times New Roman" w:eastAsia="Times New Roman" w:hAnsi="Times New Roman"/>
          <w:sz w:val="18"/>
          <w:szCs w:val="18"/>
          <w:u w:val="single" w:color="auto"/>
          <w:color w:val="auto"/>
        </w:rPr>
        <w:t>Initial Purchasers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color w:val="auto"/>
        </w:rPr>
        <w:t>This Agreement is entered into in connection with the Purchase Agreement, dated as of October 19, 2026 (as amended, restated, supplemented or otherwise modified from time to time, the “</w:t>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 by and among the Company and the Representatives on behalf of the Initial Purchasers, which provides for, among other things, the sale by the Company to the Initial Purchasers of $750,000,000 in aggregate principal amount of the Company’s 5.100% senior notes due 2028 (the “</w:t>
      </w:r>
      <w:r>
        <w:rPr>
          <w:rFonts w:ascii="Times New Roman" w:cs="Times New Roman" w:eastAsia="Times New Roman" w:hAnsi="Times New Roman"/>
          <w:sz w:val="17"/>
          <w:szCs w:val="17"/>
          <w:u w:val="single" w:color="auto"/>
          <w:color w:val="auto"/>
        </w:rPr>
        <w:t>2028 Notes</w:t>
      </w:r>
      <w:r>
        <w:rPr>
          <w:rFonts w:ascii="Times New Roman" w:cs="Times New Roman" w:eastAsia="Times New Roman" w:hAnsi="Times New Roman"/>
          <w:sz w:val="17"/>
          <w:szCs w:val="17"/>
          <w:color w:val="auto"/>
        </w:rPr>
        <w:t>”), $1,000,000,000 in aggregate principal amount of the Company’s 5.300% senior notes due 2029 (the “</w:t>
      </w:r>
      <w:r>
        <w:rPr>
          <w:rFonts w:ascii="Times New Roman" w:cs="Times New Roman" w:eastAsia="Times New Roman" w:hAnsi="Times New Roman"/>
          <w:sz w:val="17"/>
          <w:szCs w:val="17"/>
          <w:u w:val="single" w:color="auto"/>
          <w:color w:val="auto"/>
        </w:rPr>
        <w:t>2029 Notes</w:t>
      </w:r>
      <w:r>
        <w:rPr>
          <w:rFonts w:ascii="Times New Roman" w:cs="Times New Roman" w:eastAsia="Times New Roman" w:hAnsi="Times New Roman"/>
          <w:sz w:val="17"/>
          <w:szCs w:val="17"/>
          <w:color w:val="auto"/>
        </w:rPr>
        <w:t>”), $1,250,000,000 in aggregate principal amount of the Company’s 5.450% senior notes due 2031 (the “</w:t>
      </w:r>
      <w:r>
        <w:rPr>
          <w:rFonts w:ascii="Times New Roman" w:cs="Times New Roman" w:eastAsia="Times New Roman" w:hAnsi="Times New Roman"/>
          <w:sz w:val="17"/>
          <w:szCs w:val="17"/>
          <w:u w:val="single" w:color="auto"/>
          <w:color w:val="auto"/>
        </w:rPr>
        <w:t>2031 Notes</w:t>
      </w:r>
      <w:r>
        <w:rPr>
          <w:rFonts w:ascii="Times New Roman" w:cs="Times New Roman" w:eastAsia="Times New Roman" w:hAnsi="Times New Roman"/>
          <w:sz w:val="17"/>
          <w:szCs w:val="17"/>
          <w:color w:val="auto"/>
        </w:rPr>
        <w:t>”), $750,000,000 in aggregate principal amount of the Company’s 5.650% senior notes due 2034 (the “</w:t>
      </w:r>
      <w:r>
        <w:rPr>
          <w:rFonts w:ascii="Times New Roman" w:cs="Times New Roman" w:eastAsia="Times New Roman" w:hAnsi="Times New Roman"/>
          <w:sz w:val="17"/>
          <w:szCs w:val="17"/>
          <w:u w:val="single" w:color="auto"/>
          <w:color w:val="auto"/>
        </w:rPr>
        <w:t>2034 Notes</w:t>
      </w:r>
      <w:r>
        <w:rPr>
          <w:rFonts w:ascii="Times New Roman" w:cs="Times New Roman" w:eastAsia="Times New Roman" w:hAnsi="Times New Roman"/>
          <w:sz w:val="17"/>
          <w:szCs w:val="17"/>
          <w:color w:val="auto"/>
        </w:rPr>
        <w:t>”) and $1,150,000,000 in aggregate principal amount of the Company’s 5.800% senior notes due 2036 (the “</w:t>
      </w:r>
      <w:r>
        <w:rPr>
          <w:rFonts w:ascii="Times New Roman" w:cs="Times New Roman" w:eastAsia="Times New Roman" w:hAnsi="Times New Roman"/>
          <w:sz w:val="17"/>
          <w:szCs w:val="17"/>
          <w:u w:val="single" w:color="auto"/>
          <w:color w:val="auto"/>
        </w:rPr>
        <w:t>2036 Notes</w:t>
      </w:r>
      <w:r>
        <w:rPr>
          <w:rFonts w:ascii="Times New Roman" w:cs="Times New Roman" w:eastAsia="Times New Roman" w:hAnsi="Times New Roman"/>
          <w:sz w:val="17"/>
          <w:szCs w:val="17"/>
          <w:color w:val="auto"/>
        </w:rPr>
        <w:t>” and, together with the 2028 Notes, the 2029 Notes, the 2031 Notes and the 2034 Notes, the “</w:t>
      </w: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 The Notes are issued under the First Amended and Restated Indenture, dated as of March 1, 1988 (as amended by the first, second and eighth supplemental indentures dated as of November 6, 1992, May 25, 1994 and October 27, 2021, respectively, and collectively, the “</w:t>
      </w:r>
      <w:r>
        <w:rPr>
          <w:rFonts w:ascii="Times New Roman" w:cs="Times New Roman" w:eastAsia="Times New Roman" w:hAnsi="Times New Roman"/>
          <w:sz w:val="17"/>
          <w:szCs w:val="17"/>
          <w:u w:val="single" w:color="auto"/>
          <w:color w:val="auto"/>
        </w:rPr>
        <w:t>Base Indenture</w:t>
      </w:r>
      <w:r>
        <w:rPr>
          <w:rFonts w:ascii="Times New Roman" w:cs="Times New Roman" w:eastAsia="Times New Roman" w:hAnsi="Times New Roman"/>
          <w:sz w:val="17"/>
          <w:szCs w:val="17"/>
          <w:color w:val="auto"/>
        </w:rPr>
        <w:t>”), between the Company and U.S. Bank Trust Company, National Association, a national banking association duly incorporated under the laws of the United States (as successor to the Bank of New York Mellon Trust Company, N.A.), as trustee (the “</w:t>
      </w:r>
      <w:r>
        <w:rPr>
          <w:rFonts w:ascii="Times New Roman" w:cs="Times New Roman" w:eastAsia="Times New Roman" w:hAnsi="Times New Roman"/>
          <w:sz w:val="17"/>
          <w:szCs w:val="17"/>
          <w:u w:val="single" w:color="auto"/>
          <w:color w:val="auto"/>
        </w:rPr>
        <w:t>Trustee</w:t>
      </w:r>
      <w:r>
        <w:rPr>
          <w:rFonts w:ascii="Times New Roman" w:cs="Times New Roman" w:eastAsia="Times New Roman" w:hAnsi="Times New Roman"/>
          <w:sz w:val="17"/>
          <w:szCs w:val="17"/>
          <w:color w:val="auto"/>
        </w:rPr>
        <w:t>”), as supplemented by the eleventh supplemental indenture, dated as of the Settlement Date (as defined herein) (the “</w:t>
      </w:r>
      <w:r>
        <w:rPr>
          <w:rFonts w:ascii="Times New Roman" w:cs="Times New Roman" w:eastAsia="Times New Roman" w:hAnsi="Times New Roman"/>
          <w:sz w:val="17"/>
          <w:szCs w:val="17"/>
          <w:u w:val="single" w:color="auto"/>
          <w:color w:val="auto"/>
        </w:rPr>
        <w:t>Supplemental Indenture</w:t>
      </w:r>
      <w:r>
        <w:rPr>
          <w:rFonts w:ascii="Times New Roman" w:cs="Times New Roman" w:eastAsia="Times New Roman" w:hAnsi="Times New Roman"/>
          <w:sz w:val="17"/>
          <w:szCs w:val="17"/>
          <w:color w:val="auto"/>
        </w:rPr>
        <w:t>” and, together with the Base Indenture, the “</w:t>
      </w:r>
      <w:r>
        <w:rPr>
          <w:rFonts w:ascii="Times New Roman" w:cs="Times New Roman" w:eastAsia="Times New Roman" w:hAnsi="Times New Roman"/>
          <w:sz w:val="17"/>
          <w:szCs w:val="17"/>
          <w:u w:val="single" w:color="auto"/>
          <w:color w:val="auto"/>
        </w:rPr>
        <w:t>Indenture</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November 2, 2025, the Company entered into an Agreement and Plan of Merger (as amended, supplemented or modified from time to time,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Kenvue Inc., a Delaware corporation (“</w:t>
      </w:r>
      <w:r>
        <w:rPr>
          <w:rFonts w:ascii="Times New Roman" w:cs="Times New Roman" w:eastAsia="Times New Roman" w:hAnsi="Times New Roman"/>
          <w:sz w:val="18"/>
          <w:szCs w:val="18"/>
          <w:u w:val="single" w:color="auto"/>
          <w:color w:val="auto"/>
        </w:rPr>
        <w:t>Kenvue</w:t>
      </w:r>
      <w:r>
        <w:rPr>
          <w:rFonts w:ascii="Times New Roman" w:cs="Times New Roman" w:eastAsia="Times New Roman" w:hAnsi="Times New Roman"/>
          <w:sz w:val="18"/>
          <w:szCs w:val="18"/>
          <w:color w:val="auto"/>
        </w:rPr>
        <w:t>”), Vesta Sub I, Inc., a Delaware corporation and a direct wholly owned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of the Company (“</w:t>
      </w:r>
      <w:r>
        <w:rPr>
          <w:rFonts w:ascii="Times New Roman" w:cs="Times New Roman" w:eastAsia="Times New Roman" w:hAnsi="Times New Roman"/>
          <w:sz w:val="18"/>
          <w:szCs w:val="18"/>
          <w:u w:val="single" w:color="auto"/>
          <w:color w:val="auto"/>
        </w:rPr>
        <w:t>First Merger Sub</w:t>
      </w:r>
      <w:r>
        <w:rPr>
          <w:rFonts w:ascii="Times New Roman" w:cs="Times New Roman" w:eastAsia="Times New Roman" w:hAnsi="Times New Roman"/>
          <w:sz w:val="18"/>
          <w:szCs w:val="18"/>
          <w:color w:val="auto"/>
        </w:rPr>
        <w:t>”), and Vesta Sub II, LLC, a Delaware limited liability company and a direct wholly owned subsidiary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w:t>
      </w:r>
      <w:r>
        <w:rPr>
          <w:rFonts w:ascii="Times New Roman" w:cs="Times New Roman" w:eastAsia="Times New Roman" w:hAnsi="Times New Roman"/>
          <w:sz w:val="17"/>
          <w:szCs w:val="17"/>
          <w:u w:val="single" w:color="auto"/>
          <w:color w:val="auto"/>
        </w:rPr>
        <w:t>Second Merger Sub</w:t>
      </w:r>
      <w:r>
        <w:rPr>
          <w:rFonts w:ascii="Times New Roman" w:cs="Times New Roman" w:eastAsia="Times New Roman" w:hAnsi="Times New Roman"/>
          <w:sz w:val="17"/>
          <w:szCs w:val="17"/>
          <w:color w:val="auto"/>
        </w:rPr>
        <w:t>”). Under the terms of the Merger Agreement, First Merger Sub will merge with and into Kenvue (the “</w:t>
      </w:r>
      <w:r>
        <w:rPr>
          <w:rFonts w:ascii="Times New Roman" w:cs="Times New Roman" w:eastAsia="Times New Roman" w:hAnsi="Times New Roman"/>
          <w:sz w:val="17"/>
          <w:szCs w:val="17"/>
          <w:u w:val="single" w:color="auto"/>
          <w:color w:val="auto"/>
        </w:rPr>
        <w:t>First Merger</w:t>
      </w:r>
      <w:r>
        <w:rPr>
          <w:rFonts w:ascii="Times New Roman" w:cs="Times New Roman" w:eastAsia="Times New Roman" w:hAnsi="Times New Roman"/>
          <w:sz w:val="17"/>
          <w:szCs w:val="17"/>
          <w:color w:val="auto"/>
        </w:rPr>
        <w:t>”), with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Kenvue surviving as a direct wholly owned subsidiary of the Company, and immediately following the First Merger, and as part of the same overall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as the First Merger, Kenvue will merge with and into Second Merger Sub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Second Merger Sub surviving the Second Merger as a direct wholly owned subsidiary of the Company. The Merger is expected to close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fourth quarter of 2026 (the “</w:t>
      </w:r>
      <w:r>
        <w:rPr>
          <w:rFonts w:ascii="Times New Roman" w:cs="Times New Roman" w:eastAsia="Times New Roman" w:hAnsi="Times New Roman"/>
          <w:sz w:val="18"/>
          <w:szCs w:val="18"/>
          <w:u w:val="single" w:color="auto"/>
          <w:color w:val="auto"/>
        </w:rPr>
        <w:t>Merger Closing Date</w:t>
      </w:r>
      <w:r>
        <w:rPr>
          <w:rFonts w:ascii="Times New Roman" w:cs="Times New Roman" w:eastAsia="Times New Roman" w:hAnsi="Times New Roman"/>
          <w:sz w:val="18"/>
          <w:szCs w:val="18"/>
          <w:color w:val="auto"/>
        </w:rPr>
        <w:t>”). If (i) the Exchange Transactions (as defined below) are withdrawn (but the First Merger has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consummated and the Notes are issued and outstanding) or (ii) if the First Merger is consummated, the Notes are issued and outstanding and the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Offers are not completed within four (4) business days after the Expiration Date (as defined in the Indenture) of the Exchange Offers, the Notes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unconditionally guaranteed by Kenvue (or Second Merger Sub, as the successor to Kenvue) (the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and, the Notes with such Guarantee, if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1" w:name="page142"/>
    <w:bookmarkEnd w:id="141"/>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Merger, on September 28, 2026, we commenced an offer to exchange all of Kenvue’s existing senior notes in exchange for new senior notes to be issued by us and solicitation of consents with respect to certain amendments to the indentures governing Kenvue’s existing senior notes (collectively, the “</w:t>
      </w:r>
      <w:r>
        <w:rPr>
          <w:rFonts w:ascii="Times New Roman" w:cs="Times New Roman" w:eastAsia="Times New Roman" w:hAnsi="Times New Roman"/>
          <w:sz w:val="18"/>
          <w:szCs w:val="18"/>
          <w:u w:val="single" w:color="auto"/>
          <w:color w:val="auto"/>
        </w:rPr>
        <w:t>Exchange Transactions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order to induce the Initial Purchasers to enter into the Purchase Agreement, the Company has agreed to provide the registration rights set forth in this Agreement for the benefit of the Initial Purchasers and, except as otherwise set forth herein, any subsequent holder or holders of the Securities on the terms, and subject to the conditions, set forth 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hereby agree as follows:</w:t>
      </w:r>
    </w:p>
    <w:p>
      <w:pPr>
        <w:spacing w:after="0" w:line="221" w:lineRule="exact"/>
        <w:rPr>
          <w:sz w:val="20"/>
          <w:szCs w:val="20"/>
          <w:color w:val="auto"/>
        </w:rPr>
      </w:pPr>
    </w:p>
    <w:p>
      <w:pPr>
        <w:ind w:left="180" w:hanging="172"/>
        <w:spacing w:after="0"/>
        <w:tabs>
          <w:tab w:leader="none" w:pos="1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rFonts w:ascii="Times New Roman" w:cs="Times New Roman" w:eastAsia="Times New Roman" w:hAnsi="Times New Roman"/>
          <w:sz w:val="18"/>
          <w:szCs w:val="18"/>
          <w:b w:val="1"/>
          <w:bCs w:val="1"/>
          <w:color w:val="auto"/>
        </w:rPr>
      </w:pPr>
    </w:p>
    <w:p>
      <w:pPr>
        <w:ind w:left="660" w:right="4380" w:hanging="4"/>
        <w:spacing w:after="0" w:line="500" w:lineRule="auto"/>
        <w:tabs>
          <w:tab w:leader="none" w:pos="89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Agreement, the following terms shall have the following meanings: </w:t>
      </w:r>
      <w:r>
        <w:rPr>
          <w:rFonts w:ascii="Times New Roman" w:cs="Times New Roman" w:eastAsia="Times New Roman" w:hAnsi="Times New Roman"/>
          <w:sz w:val="18"/>
          <w:szCs w:val="18"/>
          <w:u w:val="single" w:color="auto"/>
          <w:color w:val="auto"/>
        </w:rPr>
        <w:t>2028 Notes</w:t>
      </w:r>
      <w:r>
        <w:rPr>
          <w:rFonts w:ascii="Times New Roman" w:cs="Times New Roman" w:eastAsia="Times New Roman" w:hAnsi="Times New Roman"/>
          <w:sz w:val="18"/>
          <w:szCs w:val="18"/>
          <w:color w:val="auto"/>
        </w:rPr>
        <w:t>: See the introductory paragraphs hereto.</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2029 Notes</w:t>
      </w:r>
      <w:r>
        <w:rPr>
          <w:rFonts w:ascii="Times New Roman" w:cs="Times New Roman" w:eastAsia="Times New Roman" w:hAnsi="Times New Roman"/>
          <w:sz w:val="18"/>
          <w:szCs w:val="18"/>
          <w:color w:val="auto"/>
        </w:rPr>
        <w:t>: See the introductory paragraphs hereto.</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2031 Notes</w:t>
      </w:r>
      <w:r>
        <w:rPr>
          <w:rFonts w:ascii="Times New Roman" w:cs="Times New Roman" w:eastAsia="Times New Roman" w:hAnsi="Times New Roman"/>
          <w:sz w:val="18"/>
          <w:szCs w:val="18"/>
          <w:color w:val="auto"/>
        </w:rPr>
        <w:t>: See the introductory paragraphs hereto.</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2034 Notes</w:t>
      </w:r>
      <w:r>
        <w:rPr>
          <w:rFonts w:ascii="Times New Roman" w:cs="Times New Roman" w:eastAsia="Times New Roman" w:hAnsi="Times New Roman"/>
          <w:sz w:val="18"/>
          <w:szCs w:val="18"/>
          <w:color w:val="auto"/>
        </w:rPr>
        <w:t>: See the introductory paragraphs hereto.</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2036 Notes</w:t>
      </w:r>
      <w:r>
        <w:rPr>
          <w:rFonts w:ascii="Times New Roman" w:cs="Times New Roman" w:eastAsia="Times New Roman" w:hAnsi="Times New Roman"/>
          <w:sz w:val="18"/>
          <w:szCs w:val="18"/>
          <w:color w:val="auto"/>
        </w:rPr>
        <w:t>: See the introductory paragraphs hereto.</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Interest</w:t>
      </w:r>
      <w:r>
        <w:rPr>
          <w:rFonts w:ascii="Times New Roman" w:cs="Times New Roman" w:eastAsia="Times New Roman" w:hAnsi="Times New Roman"/>
          <w:sz w:val="18"/>
          <w:szCs w:val="18"/>
          <w:color w:val="auto"/>
        </w:rPr>
        <w:t>: See Section 4(a) hereof.</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Interest Event</w:t>
      </w:r>
      <w:r>
        <w:rPr>
          <w:rFonts w:ascii="Times New Roman" w:cs="Times New Roman" w:eastAsia="Times New Roman" w:hAnsi="Times New Roman"/>
          <w:sz w:val="18"/>
          <w:szCs w:val="18"/>
          <w:color w:val="auto"/>
        </w:rPr>
        <w:t>: See Section 4(a) hereof.</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See the last paragraph of Section 5 hereof.</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See the introductory paragraphs hereto.</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Period</w:t>
      </w:r>
      <w:r>
        <w:rPr>
          <w:rFonts w:ascii="Times New Roman" w:cs="Times New Roman" w:eastAsia="Times New Roman" w:hAnsi="Times New Roman"/>
          <w:sz w:val="18"/>
          <w:szCs w:val="18"/>
          <w:color w:val="auto"/>
        </w:rPr>
        <w:t>: See Section 2(b) hereof.</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See the introductory paragraphs hereto.</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have the meaning ascribed to such term in Rule 14d-1(g)(3) under the Exchange Act.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See the introductory paragraphs hereto.</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ind w:left="660"/>
        <w:spacing w:after="0"/>
        <w:rPr>
          <w:sz w:val="20"/>
          <w:szCs w:val="20"/>
          <w:color w:val="auto"/>
        </w:rPr>
      </w:pP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See Section 3(a)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Securities Exchange Act of 1934, as amended, and the rules and regulations of the SEC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Exchange Transactions</w:t>
      </w:r>
      <w:r>
        <w:rPr>
          <w:rFonts w:ascii="Times New Roman" w:cs="Times New Roman" w:eastAsia="Times New Roman" w:hAnsi="Times New Roman"/>
          <w:sz w:val="18"/>
          <w:szCs w:val="18"/>
          <w:color w:val="auto"/>
        </w:rPr>
        <w:t>: See the introductory paragraphs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Exchange Guarantees</w:t>
      </w:r>
      <w:r>
        <w:rPr>
          <w:rFonts w:ascii="Times New Roman" w:cs="Times New Roman" w:eastAsia="Times New Roman" w:hAnsi="Times New Roman"/>
          <w:sz w:val="18"/>
          <w:szCs w:val="18"/>
          <w:color w:val="auto"/>
        </w:rPr>
        <w:t>: The unconditional guarantee by Kenvue (or Second Merger Sub, as applicable) of the Exchange Notes (if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Exchange Notes</w:t>
      </w:r>
      <w:r>
        <w:rPr>
          <w:rFonts w:ascii="Times New Roman" w:cs="Times New Roman" w:eastAsia="Times New Roman" w:hAnsi="Times New Roman"/>
          <w:sz w:val="18"/>
          <w:szCs w:val="18"/>
          <w:color w:val="auto"/>
        </w:rPr>
        <w:t>: See Section 2(a)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Exchange Offer</w:t>
      </w:r>
      <w:r>
        <w:rPr>
          <w:rFonts w:ascii="Times New Roman" w:cs="Times New Roman" w:eastAsia="Times New Roman" w:hAnsi="Times New Roman"/>
          <w:sz w:val="18"/>
          <w:szCs w:val="18"/>
          <w:color w:val="auto"/>
        </w:rPr>
        <w:t>: See Section 2(a)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Exchange Offer Registration Statement</w:t>
      </w:r>
      <w:r>
        <w:rPr>
          <w:rFonts w:ascii="Times New Roman" w:cs="Times New Roman" w:eastAsia="Times New Roman" w:hAnsi="Times New Roman"/>
          <w:sz w:val="18"/>
          <w:szCs w:val="18"/>
          <w:color w:val="auto"/>
        </w:rPr>
        <w:t>: See Section 2(a)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Exchange Securities</w:t>
      </w:r>
      <w:r>
        <w:rPr>
          <w:rFonts w:ascii="Times New Roman" w:cs="Times New Roman" w:eastAsia="Times New Roman" w:hAnsi="Times New Roman"/>
          <w:sz w:val="18"/>
          <w:szCs w:val="18"/>
          <w:color w:val="auto"/>
        </w:rPr>
        <w:t>: See Section 2(a)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See the introductory paragraphs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First Merger Sub</w:t>
      </w:r>
      <w:r>
        <w:rPr>
          <w:rFonts w:ascii="Times New Roman" w:cs="Times New Roman" w:eastAsia="Times New Roman" w:hAnsi="Times New Roman"/>
          <w:sz w:val="18"/>
          <w:szCs w:val="18"/>
          <w:color w:val="auto"/>
        </w:rPr>
        <w:t>: See the introductory paragraphs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Any holder of a Transfer Restricted Security or Transfer Restricted Securities, including, where applicable, each Participating Broker-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See the introductory paragraphs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See the introductory paragraphs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Kenvue</w:t>
      </w:r>
      <w:r>
        <w:rPr>
          <w:rFonts w:ascii="Times New Roman" w:cs="Times New Roman" w:eastAsia="Times New Roman" w:hAnsi="Times New Roman"/>
          <w:sz w:val="18"/>
          <w:szCs w:val="18"/>
          <w:color w:val="auto"/>
        </w:rPr>
        <w:t>: See the introductory paragraphs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Initial Purchasers</w:t>
      </w:r>
      <w:r>
        <w:rPr>
          <w:rFonts w:ascii="Times New Roman" w:cs="Times New Roman" w:eastAsia="Times New Roman" w:hAnsi="Times New Roman"/>
          <w:sz w:val="18"/>
          <w:szCs w:val="18"/>
          <w:color w:val="auto"/>
        </w:rPr>
        <w:t>: See the introductory paragraphs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See the introductory paragraphs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See the introductory paragraphs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Merger Closing Date</w:t>
      </w:r>
      <w:r>
        <w:rPr>
          <w:rFonts w:ascii="Times New Roman" w:cs="Times New Roman" w:eastAsia="Times New Roman" w:hAnsi="Times New Roman"/>
          <w:sz w:val="18"/>
          <w:szCs w:val="18"/>
          <w:color w:val="auto"/>
        </w:rPr>
        <w:t>: See the introductory paragraphs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See the introductory paragraphs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See Section 7(a)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Participating Broker-Dealer</w:t>
      </w:r>
      <w:r>
        <w:rPr>
          <w:rFonts w:ascii="Times New Roman" w:cs="Times New Roman" w:eastAsia="Times New Roman" w:hAnsi="Times New Roman"/>
          <w:sz w:val="18"/>
          <w:szCs w:val="18"/>
          <w:color w:val="auto"/>
        </w:rPr>
        <w:t>: See Section 2(b) hereof.</w:t>
      </w:r>
    </w:p>
    <w:p>
      <w:pPr>
        <w:spacing w:after="0" w:line="200" w:lineRule="exact"/>
        <w:rPr>
          <w:sz w:val="20"/>
          <w:szCs w:val="20"/>
          <w:color w:val="auto"/>
        </w:rPr>
      </w:pPr>
    </w:p>
    <w:p>
      <w:pPr>
        <w:spacing w:after="0" w:line="24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320" w:top="904" w:right="699" w:bottom="1440" w:gutter="0" w:footer="0" w:header="0"/>
        </w:sectPr>
      </w:pPr>
    </w:p>
    <w:bookmarkStart w:id="143" w:name="page144"/>
    <w:bookmarkEnd w:id="143"/>
    <w:p>
      <w:pPr>
        <w:ind w:right="1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An individual, trustee, corporation, partnership, limited liability company, joint stock company, trust, unincorporated association, union, business association, firm or other legal entity.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Private Exchange</w:t>
      </w:r>
      <w:r>
        <w:rPr>
          <w:rFonts w:ascii="Times New Roman" w:cs="Times New Roman" w:eastAsia="Times New Roman" w:hAnsi="Times New Roman"/>
          <w:sz w:val="18"/>
          <w:szCs w:val="18"/>
          <w:color w:val="auto"/>
        </w:rPr>
        <w:t>: See Section 2(b)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Private Exchange Notes</w:t>
      </w:r>
      <w:r>
        <w:rPr>
          <w:rFonts w:ascii="Times New Roman" w:cs="Times New Roman" w:eastAsia="Times New Roman" w:hAnsi="Times New Roman"/>
          <w:sz w:val="18"/>
          <w:szCs w:val="18"/>
          <w:color w:val="auto"/>
        </w:rPr>
        <w:t>: See Section 2(b) hereof.</w:t>
      </w:r>
    </w:p>
    <w:p>
      <w:pPr>
        <w:spacing w:after="0" w:line="225"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prospectus included in any Registration Statement (including, without limitation, any prospectus subject to completion and a prospectus that includes any information previously omitted from a prospectus filed as part of an effective registration statement in reliance upon</w:t>
      </w:r>
    </w:p>
    <w:p>
      <w:pPr>
        <w:spacing w:after="0" w:line="255" w:lineRule="auto"/>
        <w:rPr>
          <w:sz w:val="20"/>
          <w:szCs w:val="20"/>
          <w:color w:val="auto"/>
        </w:rPr>
      </w:pPr>
      <w:r>
        <w:rPr>
          <w:rFonts w:ascii="Times New Roman" w:cs="Times New Roman" w:eastAsia="Times New Roman" w:hAnsi="Times New Roman"/>
          <w:sz w:val="18"/>
          <w:szCs w:val="18"/>
          <w:color w:val="auto"/>
        </w:rPr>
        <w:t>Rule 430A or Rule 430B under the Securities Act and any term sheet filed pursuant to Rule 433 under the Securities Act), as amended or supplemented by any prospectus supplement, and all other amendments and supplements to the Prospectus, including post-effective amendments, and all material incorporated by reference or deemed to be incorporated by reference in such Prospectus.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See the introductory paragraphs hereto.</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Any registration statement of the Company that covers any of the Securities, the Exchange Securities or the Private Exchange Notes filed with the SEC under the Securities Act, including, in each case, the Prospectus, amendments and supplements to such registration statement, including post-effective amendments, all exhibits, and all material incorporated by reference or deemed to be incorporated by reference in such registration statement.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See the introductory paragraphs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Rule 144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Rule 144A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Rule 405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Rule 415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Rule 424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 U.S.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See the introductory paragraphs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Second Merger Sub</w:t>
      </w:r>
      <w:r>
        <w:rPr>
          <w:rFonts w:ascii="Times New Roman" w:cs="Times New Roman" w:eastAsia="Times New Roman" w:hAnsi="Times New Roman"/>
          <w:sz w:val="18"/>
          <w:szCs w:val="18"/>
          <w:color w:val="auto"/>
        </w:rPr>
        <w:t>: See the introductory paragraphs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See the introductory paragraphs hereto.</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144" w:name="page145"/>
    <w:bookmarkEnd w:id="144"/>
    <w:p>
      <w:pPr>
        <w:ind w:left="660"/>
        <w:spacing w:after="0"/>
        <w:rPr>
          <w:sz w:val="20"/>
          <w:szCs w:val="20"/>
          <w:color w:val="auto"/>
        </w:rPr>
      </w:pP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Securities Act of 1933, as amended, and the rules and regulations of the SEC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The date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Shelf Notice</w:t>
      </w:r>
      <w:r>
        <w:rPr>
          <w:rFonts w:ascii="Times New Roman" w:cs="Times New Roman" w:eastAsia="Times New Roman" w:hAnsi="Times New Roman"/>
          <w:sz w:val="18"/>
          <w:szCs w:val="18"/>
          <w:color w:val="auto"/>
        </w:rPr>
        <w:t>: See Section 2(c)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 See Section 3(a)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Any Registration Statement relating to a Shelf Registration.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Shelf Suspension Period</w:t>
      </w:r>
      <w:r>
        <w:rPr>
          <w:rFonts w:ascii="Times New Roman" w:cs="Times New Roman" w:eastAsia="Times New Roman" w:hAnsi="Times New Roman"/>
          <w:sz w:val="18"/>
          <w:szCs w:val="18"/>
          <w:color w:val="auto"/>
        </w:rPr>
        <w:t>: See Section 3(a)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See the introductory paragraphs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TIA</w:t>
      </w:r>
      <w:r>
        <w:rPr>
          <w:rFonts w:ascii="Times New Roman" w:cs="Times New Roman" w:eastAsia="Times New Roman" w:hAnsi="Times New Roman"/>
          <w:sz w:val="18"/>
          <w:szCs w:val="18"/>
          <w:color w:val="auto"/>
        </w:rPr>
        <w:t>: The Trust Indenture Act of 1939, as amended.</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Transfer Restricted Securities</w:t>
      </w:r>
      <w:r>
        <w:rPr>
          <w:rFonts w:ascii="Times New Roman" w:cs="Times New Roman" w:eastAsia="Times New Roman" w:hAnsi="Times New Roman"/>
          <w:sz w:val="18"/>
          <w:szCs w:val="18"/>
          <w:color w:val="auto"/>
        </w:rPr>
        <w:t>: Each Security upon its original issuance and at all times subsequent thereto, each Exchange Security as to which Section 2(c)(ii) hereof is applicable upon original issuance and at all times subsequent thereto and each Private Exchange Note upon original issuance thereof and at all times subsequent thereto, until, in each case, the earliest to occur of (i) a Registration Statement (other than, with respect to any Exchange Securities as to which Section 2(c)(ii) hereof is applicable, the Exchange Offer Registration Statement) covering such Security, Exchange Security or Private Exchange Note has been declared effective by the SEC and such Security, Exchange Security or such Private Exchange Note, as the case may be, has been disposed of in accordance with such effective Registration Statement, (ii) such Security has been exchanged pursuant to the Exchange Offer for an Exchange Security or Exchange Securities that may be resold without restriction under state and federal securities laws, (iii) such Security, Exchange Security or Private Exchange Note, as the case may be, ceases to be outstanding for purposes of the Indenture or (iv) the date which is three and a half years after the date the Securities were originally issued.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u w:val="single" w:color="auto"/>
          <w:color w:val="auto"/>
        </w:rPr>
        <w:t>Trustee</w:t>
      </w:r>
      <w:r>
        <w:rPr>
          <w:rFonts w:ascii="Times New Roman" w:cs="Times New Roman" w:eastAsia="Times New Roman" w:hAnsi="Times New Roman"/>
          <w:sz w:val="17"/>
          <w:szCs w:val="17"/>
          <w:color w:val="auto"/>
        </w:rPr>
        <w:t>: The trustee under the Indenture and the trustee under any indenture (if different) governing the Exchange Securities and Private Exchange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0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Underwritten registration or underwritten offering</w:t>
      </w:r>
      <w:r>
        <w:rPr>
          <w:rFonts w:ascii="Times New Roman" w:cs="Times New Roman" w:eastAsia="Times New Roman" w:hAnsi="Times New Roman"/>
          <w:sz w:val="18"/>
          <w:szCs w:val="18"/>
          <w:color w:val="auto"/>
        </w:rPr>
        <w:t>: A registration in which securities of the Company are sold to one or more underwriters for reoffering to the public.</w:t>
      </w:r>
    </w:p>
    <w:p>
      <w:pPr>
        <w:spacing w:after="0" w:line="162" w:lineRule="exact"/>
        <w:rPr>
          <w:sz w:val="20"/>
          <w:szCs w:val="20"/>
          <w:color w:val="auto"/>
        </w:rPr>
      </w:pPr>
    </w:p>
    <w:p>
      <w:pPr>
        <w:ind w:right="100" w:firstLine="656"/>
        <w:spacing w:after="0" w:line="261" w:lineRule="auto"/>
        <w:tabs>
          <w:tab w:leader="none" w:pos="90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specifically provided, all references in this Agreement to acts, laws, statutes, rules, regulations, releases, forms, no-action letters and other regulatory requirements (collectively, “</w:t>
      </w:r>
      <w:r>
        <w:rPr>
          <w:rFonts w:ascii="Times New Roman" w:cs="Times New Roman" w:eastAsia="Times New Roman" w:hAnsi="Times New Roman"/>
          <w:sz w:val="18"/>
          <w:szCs w:val="18"/>
          <w:u w:val="single" w:color="auto"/>
          <w:color w:val="auto"/>
        </w:rPr>
        <w:t>Regulatory Requirements</w:t>
      </w:r>
      <w:r>
        <w:rPr>
          <w:rFonts w:ascii="Times New Roman" w:cs="Times New Roman" w:eastAsia="Times New Roman" w:hAnsi="Times New Roman"/>
          <w:sz w:val="18"/>
          <w:szCs w:val="18"/>
          <w:color w:val="auto"/>
        </w:rPr>
        <w:t xml:space="preserve">”) shall be deemed to refer also to any amendments thereto and all subsequent Regulatory Requirements adopted as a replacement thereto having substantially the same effect therewith;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Rule 144 shall not be deemed to amend or replace Rule 144A.</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5" w:name="page146"/>
    <w:bookmarkEnd w:id="145"/>
    <w:p>
      <w:pPr>
        <w:ind w:left="180" w:hanging="172"/>
        <w:spacing w:after="0"/>
        <w:tabs>
          <w:tab w:leader="none" w:pos="1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EXCHANGE OFFER</w:t>
      </w:r>
    </w:p>
    <w:p>
      <w:pPr>
        <w:spacing w:after="0" w:line="229" w:lineRule="exact"/>
        <w:rPr>
          <w:rFonts w:ascii="Times New Roman" w:cs="Times New Roman" w:eastAsia="Times New Roman" w:hAnsi="Times New Roman"/>
          <w:sz w:val="18"/>
          <w:szCs w:val="18"/>
          <w:b w:val="1"/>
          <w:bCs w:val="1"/>
          <w:color w:val="auto"/>
        </w:rPr>
      </w:pPr>
    </w:p>
    <w:p>
      <w:pPr>
        <w:ind w:firstLine="656"/>
        <w:spacing w:after="0" w:line="252" w:lineRule="auto"/>
        <w:tabs>
          <w:tab w:leader="none" w:pos="893"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Exchange Offer would violate applicable law or any applicable interpretation of the staff of the SEC, the Company shall, at its expense, for the benefit of the Holders, use its commercially reasonable efforts to prepare and file with the SEC a Registration Statement on an appropriate registration form (an “</w:t>
      </w:r>
      <w:r>
        <w:rPr>
          <w:rFonts w:ascii="Times New Roman" w:cs="Times New Roman" w:eastAsia="Times New Roman" w:hAnsi="Times New Roman"/>
          <w:sz w:val="18"/>
          <w:szCs w:val="18"/>
          <w:u w:val="single" w:color="auto"/>
          <w:color w:val="auto"/>
        </w:rPr>
        <w:t>Exchange Offer Registration Statement</w:t>
      </w:r>
      <w:r>
        <w:rPr>
          <w:rFonts w:ascii="Times New Roman" w:cs="Times New Roman" w:eastAsia="Times New Roman" w:hAnsi="Times New Roman"/>
          <w:sz w:val="18"/>
          <w:szCs w:val="18"/>
          <w:color w:val="auto"/>
        </w:rPr>
        <w:t>”) with respect to a registered offer (the “</w:t>
      </w:r>
      <w:r>
        <w:rPr>
          <w:rFonts w:ascii="Times New Roman" w:cs="Times New Roman" w:eastAsia="Times New Roman" w:hAnsi="Times New Roman"/>
          <w:sz w:val="18"/>
          <w:szCs w:val="18"/>
          <w:u w:val="single" w:color="auto"/>
          <w:color w:val="auto"/>
        </w:rPr>
        <w:t>Exchange Offer</w:t>
      </w:r>
      <w:r>
        <w:rPr>
          <w:rFonts w:ascii="Times New Roman" w:cs="Times New Roman" w:eastAsia="Times New Roman" w:hAnsi="Times New Roman"/>
          <w:sz w:val="18"/>
          <w:szCs w:val="18"/>
          <w:color w:val="auto"/>
        </w:rPr>
        <w:t>”) to exchange any and all of the Transfer Restricted Securities for a like aggregate principal amount of debt securities of the same series of the Company (such debt securities, the “</w:t>
      </w:r>
      <w:r>
        <w:rPr>
          <w:rFonts w:ascii="Times New Roman" w:cs="Times New Roman" w:eastAsia="Times New Roman" w:hAnsi="Times New Roman"/>
          <w:sz w:val="18"/>
          <w:szCs w:val="18"/>
          <w:u w:val="single" w:color="auto"/>
          <w:color w:val="auto"/>
        </w:rPr>
        <w:t>Exchange Notes</w:t>
      </w:r>
      <w:r>
        <w:rPr>
          <w:rFonts w:ascii="Times New Roman" w:cs="Times New Roman" w:eastAsia="Times New Roman" w:hAnsi="Times New Roman"/>
          <w:sz w:val="18"/>
          <w:szCs w:val="18"/>
          <w:color w:val="auto"/>
        </w:rPr>
        <w:t>” and, together with the Exchange Guarantees, if any, the “</w:t>
      </w:r>
      <w:r>
        <w:rPr>
          <w:rFonts w:ascii="Times New Roman" w:cs="Times New Roman" w:eastAsia="Times New Roman" w:hAnsi="Times New Roman"/>
          <w:sz w:val="18"/>
          <w:szCs w:val="18"/>
          <w:u w:val="single" w:color="auto"/>
          <w:color w:val="auto"/>
        </w:rPr>
        <w:t>Exchange Securities</w:t>
      </w:r>
      <w:r>
        <w:rPr>
          <w:rFonts w:ascii="Times New Roman" w:cs="Times New Roman" w:eastAsia="Times New Roman" w:hAnsi="Times New Roman"/>
          <w:sz w:val="18"/>
          <w:szCs w:val="18"/>
          <w:color w:val="auto"/>
        </w:rPr>
        <w:t>”), that are substantially identical in all material respects to the applicable series of Securities, except that the Exchange Securities (i) shall contain no restrictive legend thereon, (ii) shall accrue interest from (A) the later of (x) the last interest payment date on which interest was paid on such Securities or (y) if such Securities are surrendered for exchange on a date in a period that includes the record date for an interest payment date to occur on or after the date of such exchange and as to which interest will be paid, the date of such interest payment date or (B) if no interest has been paid on such Securities, from the Settlement Date, (iii) shall not contain provisions for the Additional Interest contemplated in Section 4 below, and (iv) shall be entitled to the benefits of the Indenture or a trust indenture which is identical in all material respects to the Indenture (other than such changes to the Indenture or any such identical trust indenture as are necessary to comply with the TIA) and which, in either case, has been qualified under the TIA. The Company shall use its commercially reasonable efforts to cause the Exchange Offer Registration Statement to be declared effective under the Securities Act. Promptly after the Exchange Offer Registration Statement is declared effective, the Company shall commence the Exchange Offer. The Exchange Offer shall comply with all applicable tender offer rules and regulations under the Exchange Act and other applicable federal and state securities laws. The Company shall use commercially reasonable efforts to (x) keep the Exchange Offer open for at least 20 Business Days (or such shorter or longer time period as may be required by applicable law at such time) after the date that notice of the Exchange Offer is transmitted to Holders and (y) consummate the Exchange Offer on or prior to the 365th day following the Merger Closing Date.</w:t>
      </w:r>
    </w:p>
    <w:p>
      <w:pPr>
        <w:spacing w:after="0" w:line="193"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Each Holder (including, without limitation, each Participating Broker-Dealer) that participates in the Exchange Offer, as a condition to participation in the Exchange Offer and consummation by the Company of the Exchange Offer, will be required to represent to the Company in writing (which may be contained in the applicable letter of transmittal) substantially to the effect that: (i) any Exchange Securities acquired in exchange for Transfer Restricted Securities tendered are being acquired in the ordinary course of business of the Person receiving such Exchange Securities, whether or not such recipient is such Holder itself; (ii) at the time of the commencement or consummation of the Exchange Offer, neither such Holder nor, to the knowledge of such Holder, any other Person receiving Exchange Securities from such Holder has an arrangement or understanding with any Person to participate in the distribution (within the meaning of the Securities Act) of the Exchange Securities in violation of the provisions of the Securities Act;</w:t>
      </w:r>
    </w:p>
    <w:p>
      <w:pPr>
        <w:spacing w:after="0" w:line="3" w:lineRule="exact"/>
        <w:rPr>
          <w:sz w:val="20"/>
          <w:szCs w:val="20"/>
          <w:color w:val="auto"/>
        </w:rPr>
      </w:pPr>
    </w:p>
    <w:p>
      <w:pPr>
        <w:ind w:firstLine="8"/>
        <w:spacing w:after="0" w:line="252" w:lineRule="auto"/>
        <w:tabs>
          <w:tab w:leader="none" w:pos="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such Holder nor, to the knowledge of such Holder, any other Person receiving Exchange Securities from such Holder is an “affiliate” (as defined in Rule 405) of the Company; (iv) if such Holder is not a broker-dealer, neither such Holder nor, to the knowledge of such Holder, any other Person receiving Exchange Securities from such Holder is engaging, or intends to engage, in a distribution of the Exchange Securities; and (v) if such Holder is a Participating Broker-Dealer, such Holder has acquired the Transfer Restricted Securities for its own account in exchange for Securities that were acquired as a result of market-making activities or other trading activities and will comply with the applicable provisions of the Securities Act (including, but not limited to, the prospectus delivery requirements thereunder). In addition, all Holders of Transfer Restricted Securities shall otherwise cooperate in the Company’s preparations for the Exchange Offer.</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46" w:name="page147"/>
    <w:bookmarkEnd w:id="146"/>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Upon consummation of the Exchange Offer in accordance with this Section 2, the provisions of this Agreement shall continue to apply,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 solely with respect to Transfer Restricted Securities that are Private Exchange Notes, Exchange Securities as to which Section 2(c)(ii) hereof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and Exchange Securities held by Participating Broker-Dealers, and the Company shall have no further obligation to register Transfer Restricted Securities (other than Private Exchange Notes and Exchange Securities as to which Section 2(c)(ii) hereof applies) pursuant to Section 3 hereof. No securities other than the Exchange Securities shall be included in the Exchange Offer Registration Statement.</w:t>
      </w:r>
    </w:p>
    <w:p>
      <w:pPr>
        <w:spacing w:after="0" w:line="185" w:lineRule="exact"/>
        <w:rPr>
          <w:sz w:val="20"/>
          <w:szCs w:val="20"/>
          <w:color w:val="auto"/>
        </w:rPr>
      </w:pPr>
    </w:p>
    <w:p>
      <w:pPr>
        <w:ind w:right="20" w:firstLine="656"/>
        <w:spacing w:after="0" w:line="255"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include within the Prospectus contained in the Exchange Offer Registration Statement a section entitled “</w:t>
      </w:r>
      <w:r>
        <w:rPr>
          <w:rFonts w:ascii="Times New Roman" w:cs="Times New Roman" w:eastAsia="Times New Roman" w:hAnsi="Times New Roman"/>
          <w:sz w:val="18"/>
          <w:szCs w:val="18"/>
          <w:u w:val="single" w:color="auto"/>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which shall contain a summary statement of the positions taken or policies made by the staff of the SEC with respect to the potential “underwriter” status of any broker-dealer that is the “beneficial owner” (as defined in Rule 13d-3 under the Exchange Act) of Exchange Securities received by such broker-dealer in the Exchange Offer (a “</w:t>
      </w:r>
      <w:r>
        <w:rPr>
          <w:rFonts w:ascii="Times New Roman" w:cs="Times New Roman" w:eastAsia="Times New Roman" w:hAnsi="Times New Roman"/>
          <w:sz w:val="18"/>
          <w:szCs w:val="18"/>
          <w:u w:val="single" w:color="auto"/>
          <w:color w:val="auto"/>
        </w:rPr>
        <w:t>Participating Broker-Dealer</w:t>
      </w:r>
      <w:r>
        <w:rPr>
          <w:rFonts w:ascii="Times New Roman" w:cs="Times New Roman" w:eastAsia="Times New Roman" w:hAnsi="Times New Roman"/>
          <w:sz w:val="18"/>
          <w:szCs w:val="18"/>
          <w:color w:val="auto"/>
        </w:rPr>
        <w:t>”), whether such positions or policies have been publicly disseminated by the staff of the SEC or such positions or policies represent the prevailing views of the staff of the SEC. Such “Plan of Distribution” section shall also expressly permit, to the extent permitted by applicable policies and regulations of the SEC, the use of the Prospectus by all Participating Broker-Dealers, and include a statement describing the means by which Participating Broker-Dealers may resell the Exchange Securities in compliance with the Securities Act.</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shall use its commercially reasonable efforts to keep the Exchange Offer Registration Statement effective and to amend and supplement the Prospectus contained therein in order to permit such Prospectus to be lawfully delivered by all Persons subject to the prospectus delivery requirements of the Securities Act for such period of time as is necessary to comply with applicable law in connection with any resale of the Exchange Securities;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period shall not be required to exceed 90 days after the date on which the Exchange Offer Registration Statement is declared effective, as such period is extended, if at all, pursuant to the last paragraph of Section 5 hereof (the “</w:t>
      </w:r>
      <w:r>
        <w:rPr>
          <w:rFonts w:ascii="Times New Roman" w:cs="Times New Roman" w:eastAsia="Times New Roman" w:hAnsi="Times New Roman"/>
          <w:sz w:val="18"/>
          <w:szCs w:val="18"/>
          <w:u w:val="single" w:color="auto"/>
          <w:color w:val="auto"/>
        </w:rPr>
        <w:t>Applicable Period</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If, immediately prior to the consummation of the Exchange Offer, the Initial Purchasers hold any Securities acquired by them that have the status of an unsold allotment in the initial distribution, the Company, upon the written request of the Initial Purchasers, may, but shall not be obligated to, simultaneously with the delivery of the Exchange Securities, issue and deliver to the Initial Purchasers, in exchange (the “</w:t>
      </w:r>
      <w:r>
        <w:rPr>
          <w:rFonts w:ascii="Times New Roman" w:cs="Times New Roman" w:eastAsia="Times New Roman" w:hAnsi="Times New Roman"/>
          <w:sz w:val="18"/>
          <w:szCs w:val="18"/>
          <w:u w:val="single" w:color="auto"/>
          <w:color w:val="auto"/>
        </w:rPr>
        <w:t>Private Exchange</w:t>
      </w:r>
      <w:r>
        <w:rPr>
          <w:rFonts w:ascii="Times New Roman" w:cs="Times New Roman" w:eastAsia="Times New Roman" w:hAnsi="Times New Roman"/>
          <w:sz w:val="18"/>
          <w:szCs w:val="18"/>
          <w:color w:val="auto"/>
        </w:rPr>
        <w:t>”) for such Securities held by any such Initial Purchaser, a like principal amount of notes of the Company (the “</w:t>
      </w:r>
      <w:r>
        <w:rPr>
          <w:rFonts w:ascii="Times New Roman" w:cs="Times New Roman" w:eastAsia="Times New Roman" w:hAnsi="Times New Roman"/>
          <w:sz w:val="18"/>
          <w:szCs w:val="18"/>
          <w:u w:val="single" w:color="auto"/>
          <w:color w:val="auto"/>
        </w:rPr>
        <w:t>Private Exchange Notes</w:t>
      </w:r>
      <w:r>
        <w:rPr>
          <w:rFonts w:ascii="Times New Roman" w:cs="Times New Roman" w:eastAsia="Times New Roman" w:hAnsi="Times New Roman"/>
          <w:sz w:val="18"/>
          <w:szCs w:val="18"/>
          <w:color w:val="auto"/>
        </w:rPr>
        <w:t>”), that are identical in all material respects to the Exchange Securities except for the placement of a restrictive legend on such Private Exchange Notes. The Private Exchange Notes shall be issued pursuant to the same indenture as the Exchange Securities and bear the same CUSIP number as the Exchange Securities if permitted by the CUSIP Service Bureau.</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147" w:name="page148"/>
    <w:bookmarkEnd w:id="147"/>
    <w:p>
      <w:pPr>
        <w:ind w:left="440"/>
        <w:spacing w:after="0"/>
        <w:rPr>
          <w:sz w:val="20"/>
          <w:szCs w:val="20"/>
          <w:color w:val="auto"/>
        </w:rPr>
      </w:pPr>
      <w:r>
        <w:rPr>
          <w:rFonts w:ascii="Times New Roman" w:cs="Times New Roman" w:eastAsia="Times New Roman" w:hAnsi="Times New Roman"/>
          <w:sz w:val="18"/>
          <w:szCs w:val="18"/>
          <w:color w:val="auto"/>
        </w:rPr>
        <w:t>In connection with the Exchange Offer, the Company shall:</w:t>
      </w:r>
    </w:p>
    <w:p>
      <w:pPr>
        <w:spacing w:after="0" w:line="225" w:lineRule="exact"/>
        <w:rPr>
          <w:sz w:val="20"/>
          <w:szCs w:val="20"/>
          <w:color w:val="auto"/>
        </w:rPr>
      </w:pPr>
    </w:p>
    <w:p>
      <w:pPr>
        <w:ind w:left="-220" w:right="60" w:firstLine="656"/>
        <w:spacing w:after="0" w:line="282" w:lineRule="auto"/>
        <w:tabs>
          <w:tab w:leader="none" w:pos="68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to each Holder of record entitled to participate in the Exchange Offer a copy of the Prospectus forming part of the Exchange Offer Registration Statement, together with an appropriate letter of transmittal and related documents;</w:t>
      </w:r>
    </w:p>
    <w:p>
      <w:pPr>
        <w:spacing w:after="0" w:line="161" w:lineRule="exact"/>
        <w:rPr>
          <w:rFonts w:ascii="Times New Roman" w:cs="Times New Roman" w:eastAsia="Times New Roman" w:hAnsi="Times New Roman"/>
          <w:sz w:val="18"/>
          <w:szCs w:val="18"/>
          <w:color w:val="auto"/>
        </w:rPr>
      </w:pPr>
    </w:p>
    <w:p>
      <w:pPr>
        <w:ind w:left="-220" w:right="140" w:firstLine="656"/>
        <w:spacing w:after="0" w:line="282" w:lineRule="auto"/>
        <w:tabs>
          <w:tab w:leader="none" w:pos="68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keep the Exchange Offer open for not less than 20 Business Days (or such shorter or longer time period as may be required by applicable law at such time) after the date that notice of the Exchange Offer is transmitted to Holders;</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the services of a depositary for the Exchange Offer with an address in the United States;</w:t>
      </w:r>
    </w:p>
    <w:p>
      <w:pPr>
        <w:spacing w:after="0" w:line="225" w:lineRule="exact"/>
        <w:rPr>
          <w:rFonts w:ascii="Times New Roman" w:cs="Times New Roman" w:eastAsia="Times New Roman" w:hAnsi="Times New Roman"/>
          <w:sz w:val="18"/>
          <w:szCs w:val="18"/>
          <w:color w:val="auto"/>
        </w:rPr>
      </w:pPr>
    </w:p>
    <w:p>
      <w:pPr>
        <w:ind w:left="-220" w:firstLine="656"/>
        <w:spacing w:after="0" w:line="282" w:lineRule="auto"/>
        <w:tabs>
          <w:tab w:leader="none" w:pos="68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Holders to withdraw tendered Securities at any time prior to the close of business, New York time, on the last Business Day on which the Exchange Offer remains open; and</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comply in all material respects with all laws, rules and regulations applicable to the Exchange Offer.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soon as reasonably practicable after the close of the Exchange Offer and any Private Exchange, the Company shall:</w:t>
      </w:r>
    </w:p>
    <w:p>
      <w:pPr>
        <w:spacing w:after="0" w:line="225" w:lineRule="exact"/>
        <w:rPr>
          <w:sz w:val="20"/>
          <w:szCs w:val="20"/>
          <w:color w:val="auto"/>
        </w:rPr>
      </w:pPr>
    </w:p>
    <w:p>
      <w:pPr>
        <w:ind w:left="-220" w:right="240" w:firstLine="656"/>
        <w:spacing w:after="0" w:line="282" w:lineRule="auto"/>
        <w:tabs>
          <w:tab w:leader="none" w:pos="68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exchange all Transfer Restricted Securities validly tendered and not validly withdrawn pursuant to the Exchange Offer and any Private Exchange;</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Trustee for cancellation all Transfer Restricted Securities so accepted for exchange; and</w:t>
      </w:r>
    </w:p>
    <w:p>
      <w:pPr>
        <w:spacing w:after="0" w:line="225" w:lineRule="exact"/>
        <w:rPr>
          <w:rFonts w:ascii="Times New Roman" w:cs="Times New Roman" w:eastAsia="Times New Roman" w:hAnsi="Times New Roman"/>
          <w:sz w:val="18"/>
          <w:szCs w:val="18"/>
          <w:color w:val="auto"/>
        </w:rPr>
      </w:pPr>
    </w:p>
    <w:p>
      <w:pPr>
        <w:ind w:left="-220" w:right="20" w:firstLine="656"/>
        <w:spacing w:after="0" w:line="261" w:lineRule="auto"/>
        <w:tabs>
          <w:tab w:leader="none" w:pos="68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cause the Trustee to authenticate and deliver promptly to each Holder Exchange Securities or Private Exchange Notes, as the case may be, equal in principal amount to the Securities of such Holder so accepted for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Securities held in global form by a depositary, authentication and delivery to such depositary of one or more replacement Securities in global form in an equivalent principal amount thereto for the account of such Holders in accordance with the Indenture shall satisfy such authentication and delivery requirement.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20"/>
          </w:cols>
          <w:pgMar w:left="540" w:top="904" w:right="539" w:bottom="1440" w:gutter="0" w:footer="0" w:header="0"/>
        </w:sectPr>
      </w:pPr>
    </w:p>
    <w:bookmarkStart w:id="148" w:name="page149"/>
    <w:bookmarkEnd w:id="148"/>
    <w:p>
      <w:pPr>
        <w:ind w:firstLine="648"/>
        <w:spacing w:after="0" w:line="254" w:lineRule="auto"/>
        <w:rPr>
          <w:sz w:val="20"/>
          <w:szCs w:val="20"/>
          <w:color w:val="auto"/>
        </w:rPr>
      </w:pPr>
      <w:r>
        <w:rPr>
          <w:rFonts w:ascii="Times New Roman" w:cs="Times New Roman" w:eastAsia="Times New Roman" w:hAnsi="Times New Roman"/>
          <w:sz w:val="18"/>
          <w:szCs w:val="18"/>
          <w:color w:val="auto"/>
        </w:rPr>
        <w:t>The Exchange Offer and the Private Exchange shall not be subject to any conditions, other than that (i) the Exchange Offer or Private Exchange, as the case may be, does not violate applicable law or any applicable interpretation of the staff of the SEC; (ii) no action or proceeding shall have been instituted or threatened in any court or by or before any governmental agency which, in the Company’s judgment, might materially impair the ability of the Company to proceed with the Exchange Offer or the Private Exchange and, in the Company’s judgment, no material adverse development shall have occurred in any existing action or proceeding with respect to the Company; (iii) all governmental approvals shall have been obtained, which approvals the Company deems necessary for the consummation of the Exchange Offer or Private Exchange; and (iv) the accuracy of customary representations of the Holders and other representations (including, but not limited to, those set forth in Section 2(a)) as may reasonably be necessary under applicable SEC rules, regulations or interpretations, the satisfaction by the Holders of customary conditions relating to the delivery of Securities and the execution and delivery of customary documentation relating to the Exchange Offer or Private Exchange, as applicable.</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Exchange Securities and the Private Exchange Notes shall be issued under (i) the Indenture or (ii) an indenture substantially identical in all material respects to the Indenture and which, in either case, has been qualified under the TIA or is exempt from such qualification and shall provide that the Exchange Securities shall not be subject to the transfer restrictions set forth in the Indenture. The Indenture or such other indenture shall provide that the Exchange Securities, the Private Exchange Notes and the Securities shall vote and consent together on all matters as one class and that none of the Exchange Securities, the Private Exchange Notes or the Securities will have the right to vote or consent as a separate class on any matter.</w:t>
      </w:r>
    </w:p>
    <w:p>
      <w:pPr>
        <w:spacing w:after="0" w:line="183" w:lineRule="exact"/>
        <w:rPr>
          <w:sz w:val="20"/>
          <w:szCs w:val="20"/>
          <w:color w:val="auto"/>
        </w:rPr>
      </w:pPr>
    </w:p>
    <w:p>
      <w:pPr>
        <w:jc w:val="both"/>
        <w:ind w:right="240" w:firstLine="656"/>
        <w:spacing w:after="0" w:line="258" w:lineRule="auto"/>
        <w:tabs>
          <w:tab w:leader="none" w:pos="89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Exchange Offer is not completed within 365 days after the Merger Closing Date, or (ii) following the 365th day after the Merger Closing Date (but in any event no later than 20 days after the consummation of the Exchange Offer) the Company receives a written request from any Initial Purchaser representing that it holds Transfer Restricted Securities that are or were ineligible to be exchanged in the Exchange Offer, in the case of each of clauses (i) and (ii) of this sentence, then the Company shall promptly deliver to the Trustee (to deliver to the Holders) written notice thereof (the “</w:t>
      </w:r>
      <w:r>
        <w:rPr>
          <w:rFonts w:ascii="Times New Roman" w:cs="Times New Roman" w:eastAsia="Times New Roman" w:hAnsi="Times New Roman"/>
          <w:sz w:val="18"/>
          <w:szCs w:val="18"/>
          <w:u w:val="single" w:color="auto"/>
          <w:color w:val="auto"/>
        </w:rPr>
        <w:t>Shelf Notice</w:t>
      </w:r>
      <w:r>
        <w:rPr>
          <w:rFonts w:ascii="Times New Roman" w:cs="Times New Roman" w:eastAsia="Times New Roman" w:hAnsi="Times New Roman"/>
          <w:sz w:val="18"/>
          <w:szCs w:val="18"/>
          <w:color w:val="auto"/>
        </w:rPr>
        <w:t>”) and shall use commercially reasonable efforts to file a Shelf Registration pursuant to Section 3 hereof.</w:t>
      </w:r>
    </w:p>
    <w:p>
      <w:pPr>
        <w:spacing w:after="0" w:line="17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SHELF REGISTRATION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at any time a Shelf Notice is delivered as contemplated by Section 2(c) hereof, then:</w:t>
      </w:r>
    </w:p>
    <w:p>
      <w:pPr>
        <w:spacing w:after="0" w:line="225" w:lineRule="exact"/>
        <w:rPr>
          <w:sz w:val="20"/>
          <w:szCs w:val="20"/>
          <w:color w:val="auto"/>
        </w:rPr>
      </w:pPr>
    </w:p>
    <w:p>
      <w:pPr>
        <w:ind w:firstLine="656"/>
        <w:spacing w:after="0" w:line="255" w:lineRule="auto"/>
        <w:tabs>
          <w:tab w:leader="none" w:pos="89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 The Company shall, at its expense, use its commercially reasonable efforts to file with the SEC a Registration Statement for an offering to be made on a continuous basis pursuant to Rule 415 covering all of the Transfer Restricted Securities (the “</w:t>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 xml:space="preserve">”) as soon as practicable after the filing obligation described in such Shelf Notice arises;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nothing in this Section 3(a) shall require the Company to file the Shelf Registration Statement prior to the deadline for filing the Exchange Offer Registration Statement set forth in Section 2(a) and</w:t>
      </w:r>
    </w:p>
    <w:p>
      <w:pPr>
        <w:spacing w:after="0" w:line="2" w:lineRule="exact"/>
        <w:rPr>
          <w:rFonts w:ascii="Times New Roman" w:cs="Times New Roman" w:eastAsia="Times New Roman" w:hAnsi="Times New Roman"/>
          <w:sz w:val="18"/>
          <w:szCs w:val="18"/>
          <w:color w:val="auto"/>
        </w:rPr>
      </w:pPr>
    </w:p>
    <w:p>
      <w:pPr>
        <w:ind w:firstLine="8"/>
        <w:spacing w:after="0" w:line="251" w:lineRule="auto"/>
        <w:tabs>
          <w:tab w:leader="none" w:pos="26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Exchange Offer is consummated within 365 days after the Merger Closing Date, the Company shall not have any obligation to file the Shelf Registration Statement pursuant to this Section 3. The Shelf Registration shall be on Form S-3 or another appropriate form permitting registration of such Transfer Restricted Securities for resale by Holders in the manner or manners designated by them. Notwithstanding anything to the contrary herein, no Holder shall be entitled to be named as a selling security holder in the Shelf Registration Statement or to use the Prospectus forming a part thereof for resales of Transfer Restricted Securities unless such Holder has signed and returned to the Company a notice and questionnaire as distributed by the Company consenting to such Holder’s inclusion in the Prospectus as a selling security holder, evidencing such Holder’s agreement to be bound by the applicable provisions of this Agreement and providing such further information to the Company as the Company may reasonably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be required to name any Holder as a selling security holder in any Shelf Registration Statement or Prospectus unless such Holder has returned the completed notice and questionnaire at least five Business Days prior to the anticipated filing date of such Shelf Registration Statement or Prospectus.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9" w:name="page150"/>
    <w:bookmarkEnd w:id="149"/>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Company shall use commercially reasonable efforts to cause the Shelf Registration to be declared effective under the Securities Act within 365 days after the date, if any, on which the Company became obligated to file the Shelf Registration Statement and to keep the Shelf Registration continuously effective under the Securities Act until the date upon which all Transfer Restricted Securities eligible to be sold thereunder have been sold pursuant to the Shelf Registration Statement or are freely tradeable pursuant to Rule 144 under the Securities Act and the applicable interpretations of the SEC or cease to be outstanding or otherwise to be Transfer Restricted Securities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Notwithstanding anything to the contrary in this Agreement, at any time, the Company may delay the filing of any Shelf Registration or delay or suspend the effectiveness thereof, for a reasonable period of time (each, a “</w:t>
      </w:r>
      <w:r>
        <w:rPr>
          <w:rFonts w:ascii="Times New Roman" w:cs="Times New Roman" w:eastAsia="Times New Roman" w:hAnsi="Times New Roman"/>
          <w:sz w:val="18"/>
          <w:szCs w:val="18"/>
          <w:u w:val="single" w:color="auto"/>
          <w:color w:val="auto"/>
        </w:rPr>
        <w:t>Shelf Suspension Period</w:t>
      </w:r>
      <w:r>
        <w:rPr>
          <w:rFonts w:ascii="Times New Roman" w:cs="Times New Roman" w:eastAsia="Times New Roman" w:hAnsi="Times New Roman"/>
          <w:sz w:val="18"/>
          <w:szCs w:val="18"/>
          <w:color w:val="auto"/>
        </w:rPr>
        <w:t xml:space="preserve">”), if the Chief Financial Officer of the Company determines reasonably and in good faith that the filing of the Shelf Registration or the continuing effectiveness thereof would require the disclosure of non-public material information that, in the reasonable judgment of the Board of Directors of the Company, would be detrimental to the Company if so disclosed or would otherwise materially adversely affect a financing, acquisition, disposition, merger or other material transaction or such action is required by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the Company be required to disclose the business purpose for such delay or suspension. Each Holder receiving notice of any Shelf Suspension Period shall treat such notice (and the existence and contents thereof) as confidential, shall not use such information for any purpose, shall not trade in any Securities of the Company while aware of such information unless and until such information becomes public or ceases to be material and shall not disclose such information to any Person, except to the extent such disclosure is required by legal process. Any Shelf Suspension Period pursuant to this Section 3(a) shall begin on the date specified in a written notice given by the Company to the Holders and shall end on the date specified in a subsequent written notice given by the Company to the Holders.</w:t>
      </w:r>
    </w:p>
    <w:p>
      <w:pPr>
        <w:spacing w:after="0" w:line="195" w:lineRule="exact"/>
        <w:rPr>
          <w:sz w:val="20"/>
          <w:szCs w:val="20"/>
          <w:color w:val="auto"/>
        </w:rPr>
      </w:pPr>
    </w:p>
    <w:p>
      <w:pPr>
        <w:ind w:right="220" w:firstLine="656"/>
        <w:spacing w:after="0" w:line="266" w:lineRule="auto"/>
        <w:tabs>
          <w:tab w:leader="none" w:pos="90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 of Stop Orders</w:t>
      </w:r>
      <w:r>
        <w:rPr>
          <w:rFonts w:ascii="Times New Roman" w:cs="Times New Roman" w:eastAsia="Times New Roman" w:hAnsi="Times New Roman"/>
          <w:sz w:val="18"/>
          <w:szCs w:val="18"/>
          <w:color w:val="auto"/>
        </w:rPr>
        <w:t>. If the Shelf Registration ceases to be effective for any reason at any time during the Effectiveness Period (other than in the case of Shelf Suspension Period(s) permitted by this Agreement or because of the sale of all of the Securities registered thereunder), the Company shall use commercially reasonable efforts to obtain the prompt withdrawal of any order suspending the effectiveness thereof.</w:t>
      </w:r>
    </w:p>
    <w:p>
      <w:pPr>
        <w:spacing w:after="0" w:line="175" w:lineRule="exact"/>
        <w:rPr>
          <w:rFonts w:ascii="Times New Roman" w:cs="Times New Roman" w:eastAsia="Times New Roman" w:hAnsi="Times New Roman"/>
          <w:sz w:val="18"/>
          <w:szCs w:val="18"/>
          <w:color w:val="auto"/>
        </w:rPr>
      </w:pPr>
    </w:p>
    <w:p>
      <w:pPr>
        <w:ind w:right="300" w:firstLine="656"/>
        <w:spacing w:after="0" w:line="261" w:lineRule="auto"/>
        <w:tabs>
          <w:tab w:leader="none" w:pos="89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Supplements and Amendments</w:t>
      </w:r>
      <w:r>
        <w:rPr>
          <w:rFonts w:ascii="Times New Roman" w:cs="Times New Roman" w:eastAsia="Times New Roman" w:hAnsi="Times New Roman"/>
          <w:sz w:val="18"/>
          <w:szCs w:val="18"/>
          <w:color w:val="auto"/>
        </w:rPr>
        <w:t>. The Company shall promptly supplement and/or amend the Shelf Registration if (i) required by the rules, regulations or instructions applicable to the registration form used for such Shelf Registration, (ii) required by the Securities Act or (iii) reasonably requested by the Holders of a majority in aggregate principal amount of the Transfer Restricted Securities covered by such Registration Statement with respect to the information included therein with respect to one or more of such Holders.</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50" w:name="page151"/>
    <w:bookmarkEnd w:id="150"/>
    <w:p>
      <w:pPr>
        <w:ind w:left="180" w:hanging="172"/>
        <w:spacing w:after="0"/>
        <w:tabs>
          <w:tab w:leader="none" w:pos="1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INTEREST</w:t>
      </w:r>
    </w:p>
    <w:p>
      <w:pPr>
        <w:spacing w:after="0" w:line="229" w:lineRule="exact"/>
        <w:rPr>
          <w:rFonts w:ascii="Times New Roman" w:cs="Times New Roman" w:eastAsia="Times New Roman" w:hAnsi="Times New Roman"/>
          <w:sz w:val="18"/>
          <w:szCs w:val="18"/>
          <w:b w:val="1"/>
          <w:bCs w:val="1"/>
          <w:color w:val="auto"/>
        </w:rPr>
      </w:pPr>
    </w:p>
    <w:p>
      <w:pPr>
        <w:ind w:firstLine="656"/>
        <w:spacing w:after="0" w:line="272" w:lineRule="auto"/>
        <w:tabs>
          <w:tab w:leader="none" w:pos="889"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the Initial Purchasers agree that the Holders will suffer damages if the Company fails to fulfill its obligations under Section 2 or Section 3 hereof, as further specified in this Section 4, and that it would not be feasible to ascertain the extent of such damages with precision. Accordingly, the Company agrees to pay, as liquidated damages, additional interest on the Securities (“</w:t>
      </w:r>
      <w:r>
        <w:rPr>
          <w:rFonts w:ascii="Times New Roman" w:cs="Times New Roman" w:eastAsia="Times New Roman" w:hAnsi="Times New Roman"/>
          <w:sz w:val="17"/>
          <w:szCs w:val="17"/>
          <w:u w:val="single" w:color="auto"/>
          <w:color w:val="auto"/>
        </w:rPr>
        <w:t>Additional Interest</w:t>
      </w:r>
      <w:r>
        <w:rPr>
          <w:rFonts w:ascii="Times New Roman" w:cs="Times New Roman" w:eastAsia="Times New Roman" w:hAnsi="Times New Roman"/>
          <w:sz w:val="17"/>
          <w:szCs w:val="17"/>
          <w:color w:val="auto"/>
        </w:rPr>
        <w:t>”) if (A) the Company has neither</w:t>
      </w:r>
    </w:p>
    <w:p>
      <w:pPr>
        <w:spacing w:after="0" w:line="1" w:lineRule="exact"/>
        <w:rPr>
          <w:rFonts w:ascii="Times New Roman" w:cs="Times New Roman" w:eastAsia="Times New Roman" w:hAnsi="Times New Roman"/>
          <w:sz w:val="17"/>
          <w:szCs w:val="17"/>
          <w:color w:val="auto"/>
        </w:rPr>
      </w:pPr>
    </w:p>
    <w:p>
      <w:pPr>
        <w:ind w:right="2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consummated the Exchange Offer on or prior to the 365th day following the Merger Closing Date nor (ii) if applicable, had a Shelf Registration Statement declared effective under the Securities Act on or prior to the 365th day after the date that such Shelf Registration is required to be declared effective determined in accordance with Section 2(c) and 3(a) hereof (other than in the case of Shelf Suspension Period(s) permitted by this Agreement), or</w:t>
      </w:r>
    </w:p>
    <w:p>
      <w:pPr>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if applicable, a Shelf Registration has been declared effective and such Shelf Registration ceases to be effective at any time during the Effectiveness Period (other than in the case of Shelf Suspension Period(s) permitted by this Agreement or because of the sale of all of the Securities registered thereunder) and such failure to remain effective exists for more than 90 days (whether or not consecutive) in any 12-month period during the Effectiveness Period (each such event referred to in clauses (A) and (B), an “</w:t>
      </w:r>
      <w:r>
        <w:rPr>
          <w:rFonts w:ascii="Times New Roman" w:cs="Times New Roman" w:eastAsia="Times New Roman" w:hAnsi="Times New Roman"/>
          <w:sz w:val="18"/>
          <w:szCs w:val="18"/>
          <w:u w:val="single" w:color="auto"/>
          <w:color w:val="auto"/>
        </w:rPr>
        <w:t>Additional Interest Event</w:t>
      </w:r>
      <w:r>
        <w:rPr>
          <w:rFonts w:ascii="Times New Roman" w:cs="Times New Roman" w:eastAsia="Times New Roman" w:hAnsi="Times New Roman"/>
          <w:sz w:val="18"/>
          <w:szCs w:val="18"/>
          <w:color w:val="auto"/>
        </w:rPr>
        <w:t>”), then Additional Interest shall accrue on the principal amount of the Securities of the series affected by such Additional Interest Event then outstanding (but, following the consummation of the Exchange Offer, only on the principal amount of such Securities that could not be exchanged or were not exchanged as specified in Section 2(c) hereof) at a rate of 0.25% per annum during the 90-day period immediately following the occurrence of any Additional Interest Event, which rate will, after such 90-day period, increase to a maximum of 0.50% per annum thereafter (such Additional Interest to be calculated by the Company) commencing on (x) the 366th day after the Merger Closing Date, in the case of clause (A)(i) above, (y) such later date that a Shelf Registration is required to be declared effective determined in accordance with Section 2(c) and 3(a) hereof, in the case of clause (A)(ii) above, or (z) the date such Shelf Registration ceases to be effective for more than</w:t>
      </w:r>
    </w:p>
    <w:p>
      <w:pPr>
        <w:spacing w:after="0" w:line="3" w:lineRule="exact"/>
        <w:rPr>
          <w:rFonts w:ascii="Times New Roman" w:cs="Times New Roman" w:eastAsia="Times New Roman" w:hAnsi="Times New Roman"/>
          <w:sz w:val="17"/>
          <w:szCs w:val="17"/>
          <w:color w:val="auto"/>
        </w:rPr>
      </w:pPr>
    </w:p>
    <w:p>
      <w:pPr>
        <w:ind w:right="500" w:firstLine="8"/>
        <w:spacing w:after="0" w:line="250" w:lineRule="auto"/>
        <w:tabs>
          <w:tab w:leader="none" w:pos="22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(whether or not consecutive) in any 12-month period during the Effectiveness Period (other than in the case of Shelf Suspension Period(s) permitted by this Agreement or because of the sale of all of the Securities registered thereunder), in the case of clause (B)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upon the exchange of the Exchange Securities for all Transfer Restricted Securities validly tendered (in the case of clause (A) of this</w:t>
      </w:r>
    </w:p>
    <w:p>
      <w:pPr>
        <w:spacing w:after="0" w:line="1"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4(a)) or upon the effectiveness of the applicable Shelf Registration Statement which had ceased to remain effective (in the case of clause (B) of this Section 4(a)) or if the Securities otherwise no longer constitute Transfer Restricted Securities, Additional Interest on the Securities in respect of which such events relate as a result of such clause (or the relevant subclause thereof), as the case may be, shall cease to accrue. The obligation of the Company to pay Additional Interest as set forth in this Section 4 shall be the sole and exclusive remedy, monetary or otherwise, of the Holders and Participating Broker-Dealers for any Additional Interest Event, and no Holder or Participating Broker-Dealer shall be entitled to recover any consequential, indirect, special, incidental, exemplary, or punitive damages in connection therewith. Notwithstanding anything to the contrary herein, (i) the amount of Additional Interest payable shall not increase because more than one Additional Interest Event has occurred and is continuing, (ii) a Holder or Participating Broker-Dealer that is not entitled to the benefits of the Shelf Registration shall not be entitled to Additional Interest with respect to any Additional Interest Event that pertains to the Shelf Registration and (iii) the Company shall not be obligated to pay Additional Interest provided in this Section 4 during a Shelf Suspension Period permitted by Section 3(a) hereof. For the avoidance of doubt, following the cure of each Additional Interest Event, the accrual of Additional Interest on the affected Securities will cease, the interest rate will revert to the original rate on such Securities and, upon any subsequent Additional Interest Event following any such cure of such Additional Interest Event, Additional Interest will begin accruing again at 0.25% per annum and will increase to a maximum of 0.50% per annum as provided above until such subsequent Additional Interest Event has been cured.</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51" w:name="page152"/>
    <w:bookmarkEnd w:id="151"/>
    <w:p>
      <w:pPr>
        <w:ind w:firstLine="656"/>
        <w:spacing w:after="0" w:line="253" w:lineRule="auto"/>
        <w:tabs>
          <w:tab w:leader="none" w:pos="9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notify the Trustee within five Business Days after the occurrence of an Additional Interest Event in respect of which Additional Interest is required to be paid. Any amounts of Additional Interest due pursuant to clause (a) of this Section 4 shall be paid by depositing with the Trustee, in trust, for the benefit of the Holders of the Transfer Restricted Securities entitled to such Additional Interest, on or before the applicable semi-annual interest payment date set forth in the Indenture, immediately available funds in sums sufficient to pay the Additional Interest then due. The Additional Interest due shall be payable on each interest payment date to the record Holder of the Transfer Restricted Securities affected thereby entitled to receive the interest payment to be paid on such date as set forth in the Indenture. The amount of Additional Interest will be determined by the Company by multiplying the applicable Additional Interest rate by the applicable principal amount of the Transfer Restricted Securities entitled to such Additional Interest (as determined pursuant to Section 4(a) hereof), multiplied by a fraction, the numerator of which is the number of days such Additional Interest rate was applicable during such period (determined on the basis of a 360-day year consisting of twelve 30-day months and, in the case of a partial month, the actual number of days elapsed), and the denominator of which is 360. Each obligation to pay Additional Interest shall be deemed to accrue from and including the day following the applicable Additional Interest Event.</w:t>
      </w:r>
    </w:p>
    <w:p>
      <w:pPr>
        <w:spacing w:after="0" w:line="18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REGISTRATION PROCEDURES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any Registration Statement pursuant to Section 2 or 3 hereof, the Company shall use its commercially reasonable efforts to effect such registrations to permit the sale of the securities covered thereby in accordance with the intended method or methods of disposition thereof, and pursuant thereto and in connection with any Registration Statement filed by the Company hereunder, the Company shall:</w:t>
      </w:r>
    </w:p>
    <w:p>
      <w:pPr>
        <w:spacing w:after="0" w:line="176" w:lineRule="exact"/>
        <w:rPr>
          <w:sz w:val="20"/>
          <w:szCs w:val="20"/>
          <w:color w:val="auto"/>
        </w:rPr>
      </w:pPr>
    </w:p>
    <w:p>
      <w:pPr>
        <w:ind w:right="20" w:firstLine="656"/>
        <w:spacing w:after="0" w:line="253" w:lineRule="auto"/>
        <w:tabs>
          <w:tab w:leader="none" w:pos="89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its commercially reasonable efforts to prepare and file with the SEC, a Registration Statement as prescribed by Section 2 or 3 hereof, and use its commercially reasonable efforts to cause each such Registration Statement to become effective and remain effective as provided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(1) such filing is pursuant to Section 3 hereof or (2) a Prospectus contained in the Exchange Offer Registration Statement filed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2 hereof is required to be delivered under the Securities Act by any Participating Broker-Dealer from whom the Company has received prior written notice of its intent to participate in the Exchange Offer, then, prior to the filing of any such Registration Statement, Prospectus or any material amendment or supplement thereto, the Company shall furnish drafts thereof to counsel for the Holders of the Transfer Restricted Securities covered by such Registration Statement (which shall be a single firm and which shall be Latham &amp; Watkins LLP or such other firm selected by the Holders holding a majority in principal amount of such Transfer Restricted Securities) or counsel for such Participating Broker-Dealer, as applicable, and shall consider in good faith any comments timely received thereon; provided that such review shall be limited to disclosure relating to such Holders or Participating Broker-Dealers and the plan of distribution, and shall not include any documents incorporated by reference or exhibits thereto. The Company shall not be required to delay any filing as a result of such review process, and the content of any filing shall remain within the sole discretion of the Company.</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ind w:left="-60" w:firstLine="656"/>
        <w:spacing w:after="0" w:line="254" w:lineRule="auto"/>
        <w:tabs>
          <w:tab w:leader="none" w:pos="84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3(a), prepare and file with the SEC such amendments and post-effective amendments to each Shelf Registration Statement or Exchange Offer Registration Statement, as the case may be, as may be necessary to keep such Registration Statement continuously effective for the Effectiveness Period, the Applicable Period or until consummation of the Exchange Offer, as the case may be; cause the related Prospectus to be supplemented by any Prospectus supplement required by applicable law, and as so supplemented to be filed pursuant to Rule 424 (or any similar provision then in force); and comply with the provisions of the Securities Act and the Exchange Act applicable to it with respect to the disposition of all securities covered by such Registration Statement as so amended or in such Prospectus as so supplemented and with respect to the subsequent resale of any securities being sold by a Participating Broker-Dealer covered by any such Prospectus in all material respects;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nothing contained herein shall imply that the Company is liable for any action or inaction of any Holder, including any Participating Broker-Dealer.</w:t>
      </w:r>
    </w:p>
    <w:p>
      <w:pPr>
        <w:spacing w:after="0" w:line="191" w:lineRule="exact"/>
        <w:rPr>
          <w:rFonts w:ascii="Times New Roman" w:cs="Times New Roman" w:eastAsia="Times New Roman" w:hAnsi="Times New Roman"/>
          <w:sz w:val="18"/>
          <w:szCs w:val="18"/>
          <w:color w:val="auto"/>
        </w:rPr>
      </w:pPr>
    </w:p>
    <w:p>
      <w:pPr>
        <w:ind w:left="-60" w:firstLine="656"/>
        <w:spacing w:after="0" w:line="252" w:lineRule="auto"/>
        <w:tabs>
          <w:tab w:leader="none" w:pos="83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(1) a Shelf Registration is filed pursuant to Section 3 hereof or (2) a Prospectus contained in the Exchange Offer Registration Statement filed pursuant to Section 2 hereof is required to be delivered under the Securities Act by any Participating Broker-Dealer who seeks to sell Exchange Securities during the Applicable Period relating thereto from whom the Company has received prior written notice that it will be a Participating Broker-Dealer in the Exchange Offer, notify the selling Holders of Transfer Restricted Securities (with respect to a Registration Statement filed pursuant to Section 3 hereof) or each such Participating Broker-Dealer (with respect to any such Registration Statement), as the case may be, and their counsel promptly (but in any event within three Business Days) (i) when a Prospectus or any Prospectus supplement or post-effective amendment has been filed, and, with respect to a Registration Statement or any post-effective amendment, when the same has become effective under the Securities Act (including in such notice a written statement that any Holder may, upon request, obtain, at the sole expense of the Company, one conformed copy of such Registration Statement or post-effective amendment including financial statements and schedules, documents incorporated or deemed to be incorporated by reference and exhibits), (ii) of the issuance by the SEC of any stop order suspending the effectiveness of a Registration Statement or of any order preventing or suspending the use of any preliminary prospectus or the initiation of any proceedings for that purpose, (iii) of the receipt by the Company of any notification with respect to the suspension of the qualification or exemption from qualification of a Registration Statement or any of the Transfer Restricted Securities or the Exchange Securities to be sold by any Participating Broker-Dealer for offer or sale in any jurisdiction, or the initiation or threatening in writing of any proceeding for such purpose, (iv) of the happening of any event, the existence of any condition or any information becoming known that makes any statement made in such Registration Statement or related Prospectus or any document incorporated or deemed to be incorporated therein by reference untrue in any material respect or that requires the making of any changes in or amendments or supplements to such Registration Statement,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required to be stated therein or necessary to make the statements therein, in the light of the circumstances under which they were made, not misleading, and (v) of the Company’s determination that a post-effective amendment to a Registration Statement would be appropriate.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80" w:top="904" w:right="379" w:bottom="1440" w:gutter="0" w:footer="0" w:header="0"/>
        </w:sectPr>
      </w:pPr>
    </w:p>
    <w:bookmarkStart w:id="153" w:name="page154"/>
    <w:bookmarkEnd w:id="153"/>
    <w:p>
      <w:pPr>
        <w:ind w:left="-40" w:right="60" w:firstLine="656"/>
        <w:spacing w:after="0" w:line="266" w:lineRule="auto"/>
        <w:tabs>
          <w:tab w:leader="none" w:pos="86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prevent the issuance of any order suspending the effectiveness of a Registration Statement or of any order preventing or suspending the use of a Prospectus or suspending the qualification (or exemption from qualification) of any of the Transfer Restricted Securities or the Exchange Securities to be sold by any Participating Broker-Dealer, for sale in any jurisdiction.</w:t>
      </w:r>
    </w:p>
    <w:p>
      <w:pPr>
        <w:spacing w:after="0" w:line="175" w:lineRule="exact"/>
        <w:rPr>
          <w:rFonts w:ascii="Times New Roman" w:cs="Times New Roman" w:eastAsia="Times New Roman" w:hAnsi="Times New Roman"/>
          <w:sz w:val="18"/>
          <w:szCs w:val="18"/>
          <w:color w:val="auto"/>
        </w:rPr>
      </w:pPr>
    </w:p>
    <w:p>
      <w:pPr>
        <w:ind w:left="-40" w:right="60" w:firstLine="656"/>
        <w:spacing w:after="0" w:line="255" w:lineRule="auto"/>
        <w:tabs>
          <w:tab w:leader="none" w:pos="85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(1) a Shelf Registration is filed pursuant to Section 3 hereof, or (2) a Prospectus contained in the Exchange Offer Registration Statement filed pursuant to Section 2 hereof is required to be delivered under the Securities Act by any Participating Broker-Dealer who seeks to sell Exchange Securities during the Applicable Period, furnish to each selling Holder of Transfer Restricted Securities (with respect to a Registration Statement filed pursuant to Section 3 hereof) and to each such Participating Broker-Dealer who so requests (with respect to any such Registration Statement) and to their respective counsel upon request and at the sole expense of the Company, one conformed copy of the Registration Statement or Registration Statements and each post-effective amendment thereto, including financial statements and schedules, and, if requested, all documents incorporated or deemed to be incorporated therein by reference and all exhibits.</w:t>
      </w:r>
    </w:p>
    <w:p>
      <w:pPr>
        <w:spacing w:after="0" w:line="188" w:lineRule="exact"/>
        <w:rPr>
          <w:rFonts w:ascii="Times New Roman" w:cs="Times New Roman" w:eastAsia="Times New Roman" w:hAnsi="Times New Roman"/>
          <w:sz w:val="18"/>
          <w:szCs w:val="18"/>
          <w:color w:val="auto"/>
        </w:rPr>
      </w:pPr>
    </w:p>
    <w:p>
      <w:pPr>
        <w:ind w:left="-40" w:firstLine="656"/>
        <w:spacing w:after="0" w:line="253" w:lineRule="auto"/>
        <w:tabs>
          <w:tab w:leader="none" w:pos="83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(1) a Shelf Registration is filed pursuant to Section 3 hereof, or (2) a Prospectus contained in the Exchange Offer Registration Statement filed pursuant to Section 2 hereof is required to be delivered under the Securities Act by any Participating Broker-Dealer who seeks to sell Exchange Securities during the Applicable Period, deliver to each selling Holder of Transfer Restricted Securities (with respect to a Registration Statement filed pursuant to Section 3 hereof), or each such Participating Broker-Dealer (with respect to any such Registration Statement), as the case may be, and their respective counsel at the sole expense of the Company, as many copies of the Prospectus or Prospectuses (including each form of preliminary prospectus) and each amendment or supplement thereto and any documents incorporated by reference therein as such Persons may reasonably request; and, subject to the last paragraph of this Section 5, the Company hereby consents to the use of such Prospectus and each amendment or supplement thereto by each of the selling Holders of Transfer Restricted Securities or each such Participating Broker-Dealer, as the case may be, in connection with the offering and sale of the Transfer Restricted Securities covered by, or the sale by Participating Broker-Dealers of the Exchange Securities pursuant to, such Prospectus and any amendment or supplement thereto.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60" w:top="904" w:right="339" w:bottom="1440" w:gutter="0" w:footer="0" w:header="0"/>
        </w:sectPr>
      </w:pPr>
    </w:p>
    <w:bookmarkStart w:id="154" w:name="page155"/>
    <w:bookmarkEnd w:id="154"/>
    <w:p>
      <w:pPr>
        <w:ind w:left="-20" w:right="20" w:firstLine="656"/>
        <w:spacing w:after="0" w:line="253" w:lineRule="auto"/>
        <w:tabs>
          <w:tab w:leader="none" w:pos="88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any delivery of a Prospectus contained in the Exchange Offer Registration Statement by any Participating Broker-Dealer who seeks to sell Exchange Securities during the Applicable Period, use its commercially reasonable efforts to register or qualify, and to cooperate with the selling Holders of Transfer Restricted Securities or each such Participating Broker-Dealer, as the case may be, and their respective counsel in connection with the registration or qualification (or exemption from such registration or qualification) of such Transfer Restricted Securities for offer and sale under the securities or Blue Sky laws of such jurisdictions within the United States as any selling Holder or Participating Broker-Dealer reasonably request in writing;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Company agrees to use its commercially reasonable efforts to cause its counsel to perform Blue Sky investigations and file registrations and qualifications required to be filed pursuant to this Section 5(g), keep each such registration or qualification (or exemption therefrom) effective during the period such Registration Statement is required to be kept effective and do any and all other acts or things necessary or advisable to enable the disposition in such jurisdictions of the Exchange Securities held by Participating Broker-Dealers or the Transfer Restricted Securities covered by the applicable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(A) qualify generally to do business in any jurisdiction where they are not then so qualified, (B) take any action that would subject them to general service of process or taxation in any such jurisdiction where they are not then so subject or (C) make any changes to its certificate of incorporation or by-laws (or other organizational documents) or any agreement between it and holders of its ownership interests.</w:t>
      </w:r>
    </w:p>
    <w:p>
      <w:pPr>
        <w:spacing w:after="0" w:line="187" w:lineRule="exact"/>
        <w:rPr>
          <w:rFonts w:ascii="Times New Roman" w:cs="Times New Roman" w:eastAsia="Times New Roman" w:hAnsi="Times New Roman"/>
          <w:sz w:val="18"/>
          <w:szCs w:val="18"/>
          <w:color w:val="auto"/>
        </w:rPr>
      </w:pPr>
    </w:p>
    <w:p>
      <w:pPr>
        <w:jc w:val="both"/>
        <w:ind w:left="-20" w:right="40" w:firstLine="656"/>
        <w:spacing w:after="0" w:line="261" w:lineRule="auto"/>
        <w:tabs>
          <w:tab w:leader="none" w:pos="88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Shelf Registration is filed pursuant to Section 3 hereof, cooperate with the selling Holders of Transfer Restricted Securities to facilitate the timely preparation and delivery of certificates representing Transfer Restricted Securities to be sold, which certificates shall not bear any restrictive legends and shall be in a form eligible for deposit with The Depository Trust Company; and enable such Transfer Restricted Securities to be in such denominations (subject to applicable requirements contained in the Indenture) and registered in such names as the Holders may reasonably request.</w:t>
      </w:r>
    </w:p>
    <w:p>
      <w:pPr>
        <w:spacing w:after="0" w:line="179" w:lineRule="exact"/>
        <w:rPr>
          <w:rFonts w:ascii="Times New Roman" w:cs="Times New Roman" w:eastAsia="Times New Roman" w:hAnsi="Times New Roman"/>
          <w:sz w:val="18"/>
          <w:szCs w:val="18"/>
          <w:color w:val="auto"/>
        </w:rPr>
      </w:pPr>
    </w:p>
    <w:p>
      <w:pPr>
        <w:ind w:left="-20" w:firstLine="656"/>
        <w:spacing w:after="0" w:line="253" w:lineRule="auto"/>
        <w:tabs>
          <w:tab w:leader="none" w:pos="84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(1) a Shelf Registration is filed pursuant to Section 3 hereof, or (2) a Prospectus contained in the Exchange Offer Registration Statement filed pursuant to Section 2 hereof is required to be delivered under the Securities Act by any Participating Broker-Dealer who seeks to sell Exchange Securities during the Applicable Period, upon the occurrence of any event contemplated by Section 5(c)(iv) or 5(c)(v) hereof, as promptly as practicable, use its commercially reasonable efforts to prepare and (subject to Section 5(a) hereof) file with the SEC, at the sole expense of the Company, a supplement or post-effective amendment to the Registration Statement or a supplement to the related Prospectus or any document incorporated therein by reference so that (but only to such an extent that), as thereafter delivered to the purchasers of the Transfer Restricted Securities being sold thereunder (with respect to a Registration Statement filed pursuant to Section 3 hereof) or to the purchasers of the Exchange Securities to whom such Prospectus will be delivered by a Participating Broker-Dealer (with respect to any such Registration Statement), any such Prospectus will not contain an untrue statement of a material fact or omit to state a material fact required to be stated therein or necessary to make the statements therein, in the light of the circumstances under which they were made, not misleading.</w:t>
      </w:r>
    </w:p>
    <w:p>
      <w:pPr>
        <w:spacing w:after="0" w:line="194" w:lineRule="exact"/>
        <w:rPr>
          <w:rFonts w:ascii="Times New Roman" w:cs="Times New Roman" w:eastAsia="Times New Roman" w:hAnsi="Times New Roman"/>
          <w:sz w:val="18"/>
          <w:szCs w:val="18"/>
          <w:color w:val="auto"/>
        </w:rPr>
      </w:pPr>
    </w:p>
    <w:p>
      <w:pPr>
        <w:ind w:left="-20" w:right="60" w:firstLine="656"/>
        <w:spacing w:after="0" w:line="266" w:lineRule="auto"/>
        <w:tabs>
          <w:tab w:leader="none" w:pos="84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date of the Registration Statement relating to the Transfer Restricted Securities, (i) if then in certificated form, provide the Trustee with certificates for the Transfer Restricted Securities in a form eligible for deposit with The Depository Trust Company and (ii) provide a CUSIP number for the Transfer Restricted Securities.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155" w:name="page156"/>
    <w:bookmarkEnd w:id="155"/>
    <w:p>
      <w:pPr>
        <w:ind w:firstLine="656"/>
        <w:spacing w:after="0" w:line="274" w:lineRule="auto"/>
        <w:tabs>
          <w:tab w:leader="none" w:pos="903"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an indenture trustee for the Transfer Restricted Securities or the Exchange Securities, as the case may be, and cause the Indenture or the trust indenture provided for in Section 2(a) hereof, as the case may be, to be qualified under the TIA not later than the effective date of the Registration Statement relating to the Transfer Restricted Securities; and in connection therewith, cooperate with the trustee under any such indenture and the Holders of the Transfer Restricted Securities, to effect such changes (if any) to such indenture as may be required for such indenture to be so qualified in accordance with the terms of the TIA; and execute, and use its commercially reasonable efforts to cause such trustee to execute, all documents as may be required to effect such changes, and all other forms and documents required to be filed with the SEC to enable such indenture to be so qualified in a timely manner.</w:t>
      </w:r>
    </w:p>
    <w:p>
      <w:pPr>
        <w:spacing w:after="0" w:line="172" w:lineRule="exact"/>
        <w:rPr>
          <w:rFonts w:ascii="Times New Roman" w:cs="Times New Roman" w:eastAsia="Times New Roman" w:hAnsi="Times New Roman"/>
          <w:sz w:val="17"/>
          <w:szCs w:val="17"/>
          <w:color w:val="auto"/>
        </w:rPr>
      </w:pPr>
    </w:p>
    <w:p>
      <w:pPr>
        <w:ind w:right="80" w:firstLine="656"/>
        <w:spacing w:after="0" w:line="258" w:lineRule="auto"/>
        <w:tabs>
          <w:tab w:leader="none" w:pos="86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Comply in all material respects with all applicable rules and regulations of the SEC, and make generally available to their securityholders with regard to any applicable Registration Statement a consolidated earnings statement (which need not be audited) satisfying the provisions of Section 11(a) of the Securities Act and Rule 158 thereunder (or any similar rule promulgated under the Securities Act) for the 12-month period beginning with the first month of the Company’s first fiscal quarter commencing after the effective date of the first Registration Statement required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requirement shall be deemed satisfied by the Company by complying with the applicable reporting covenant of the Indenture.</w:t>
      </w:r>
    </w:p>
    <w:p>
      <w:pPr>
        <w:spacing w:after="0" w:line="183" w:lineRule="exact"/>
        <w:rPr>
          <w:rFonts w:ascii="Times New Roman" w:cs="Times New Roman" w:eastAsia="Times New Roman" w:hAnsi="Times New Roman"/>
          <w:sz w:val="18"/>
          <w:szCs w:val="18"/>
          <w:color w:val="auto"/>
        </w:rPr>
      </w:pPr>
    </w:p>
    <w:p>
      <w:pPr>
        <w:ind w:right="160" w:firstLine="656"/>
        <w:spacing w:after="0" w:line="258" w:lineRule="auto"/>
        <w:tabs>
          <w:tab w:leader="none" w:pos="95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Exchange Offer or a Private Exchange is to be consummated, upon delivery of the Transfer Restricted Securities by Holders to the Company (or to such other Person as directed by the Company), in exchange for the Exchange Securities or the Private Exchange Notes, as the case may be, if then in certificated form, the Company shall mark, or cause to be marked, on such Transfer Restricted Securities that such Transfer Restricted Securities are being cancelled in exchange for the Exchange Securities or the Private Exchange Notes, as the case may be; in no event shall such Transfer Restricted Securities be marked as paid or otherwise satisfied.</w:t>
      </w:r>
    </w:p>
    <w:p>
      <w:pPr>
        <w:spacing w:after="0" w:line="183" w:lineRule="exact"/>
        <w:rPr>
          <w:rFonts w:ascii="Times New Roman" w:cs="Times New Roman" w:eastAsia="Times New Roman" w:hAnsi="Times New Roman"/>
          <w:sz w:val="18"/>
          <w:szCs w:val="18"/>
          <w:color w:val="auto"/>
        </w:rPr>
      </w:pPr>
    </w:p>
    <w:p>
      <w:pPr>
        <w:ind w:right="80" w:firstLine="656"/>
        <w:spacing w:after="0" w:line="282" w:lineRule="auto"/>
        <w:tabs>
          <w:tab w:leader="none" w:pos="90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take all other steps reasonably necessary to effect the registration of the Exchange Securities and/or Transfer Restricted Securities covered by a Registration Statement contemplated hereby.</w:t>
      </w:r>
    </w:p>
    <w:p>
      <w:pPr>
        <w:spacing w:after="0" w:line="16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may require each seller of Transfer Restricted Securities as to which any registration is being effected to furnish to the Company in writing such information regarding such seller and the distribution of such Transfer Restricted Securities as the Company may, from time to time, reasonably request. The Company may exclude from such registration the Transfer Restricted Securities of any seller so long as such seller fails to furnish such information in writing within a reasonable time after receiving such request. Each seller as to which any Shelf Registration is being effected agrees to furnish promptly in writing to the Company all information required to be disclosed in order to make the information previously furnished to the Company by such seller not materially misleading.</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56" w:name="page157"/>
    <w:bookmarkEnd w:id="156"/>
    <w:p>
      <w:pPr>
        <w:ind w:firstLine="648"/>
        <w:spacing w:after="0" w:line="255" w:lineRule="auto"/>
        <w:rPr>
          <w:sz w:val="20"/>
          <w:szCs w:val="20"/>
          <w:color w:val="auto"/>
        </w:rPr>
      </w:pPr>
      <w:r>
        <w:rPr>
          <w:rFonts w:ascii="Times New Roman" w:cs="Times New Roman" w:eastAsia="Times New Roman" w:hAnsi="Times New Roman"/>
          <w:sz w:val="18"/>
          <w:szCs w:val="18"/>
          <w:color w:val="auto"/>
        </w:rPr>
        <w:t>If any such Registration Statement refers to any Holder by name or otherwise as the holder of any securities of the Company, then such Holder shall have the right to require (to the extent not objected to by the SEC) (i) the insertion therein of language, in form and substance reasonably satisfactory to such Holder, to the effect that the holding by such Holder of such securities is not to be construed as a recommendation by such Holder of the investment quality of the securities covered thereby and that such holding does not imply that such Holder will assist in meeting any future financial requirements of the Company or (ii) in the event that such reference to such Holder by name or otherwise is not required by the Securities Act or any similar federal statute then in force, the deletion of the reference to such Holder in any amendment or supplement to the Registration Statement filed or prepared subsequent to the time that such reference ceases to be required.</w:t>
      </w:r>
    </w:p>
    <w:p>
      <w:pPr>
        <w:spacing w:after="0" w:line="18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Each Holder of Transfer Restricted Securities and each Participating Broker-Dealer agrees by its acquisition of such Transfer Restricted Securities or Exchange Securities to be sold by such Participating Broker-Dealer, as the case may be, that, upon receipt of any notice from the Company of the happening of any event of the kind described in Section 5(c)(ii), 5(c)(iii), 5(c)(iv), or 5(c)(v) hereof, such Holder shall forthwith discontinue disposition of such Transfer Restricted Securities covered by such Registration Statement or Prospectus or Exchange Securities to be sold by such Holder or Participating Broker-Dealer, as the case may be, until such Holder’s or Participating Broker-Dealer’s receipt of the copies of the supplemented or amended Prospectus contemplated by Section 5(i) hereof, or until it is advised in writing (the “</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by the Company that the use of the applicable Prospectus may be resumed, and has received copies of any amendments or supplements thereto. In the event that the Company shall give any such notice, each of the Applicable Period and the Effectiveness Period shall be extended by the number of days during such periods from and including the date of the giving of such notice to and including the date when each seller of Transfer Restricted Securities covered by such Registration Statement or Exchange Securities to be sold by such Participating Broker-Dealer, as the case may be, shall have received (x) the copies of the supplemented or amended Prospectus contemplated by Section 5(i) hereof or (y) the Advice.</w:t>
      </w:r>
    </w:p>
    <w:p>
      <w:pPr>
        <w:spacing w:after="0" w:line="188" w:lineRule="exact"/>
        <w:rPr>
          <w:sz w:val="20"/>
          <w:szCs w:val="20"/>
          <w:color w:val="auto"/>
        </w:rPr>
      </w:pPr>
    </w:p>
    <w:p>
      <w:pPr>
        <w:ind w:left="180" w:hanging="172"/>
        <w:spacing w:after="0"/>
        <w:tabs>
          <w:tab w:leader="none" w:pos="1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REGISTRATION EXPENSES</w:t>
      </w:r>
    </w:p>
    <w:p>
      <w:pPr>
        <w:spacing w:after="0" w:line="229" w:lineRule="exact"/>
        <w:rPr>
          <w:rFonts w:ascii="Times New Roman" w:cs="Times New Roman" w:eastAsia="Times New Roman" w:hAnsi="Times New Roman"/>
          <w:sz w:val="18"/>
          <w:szCs w:val="18"/>
          <w:b w:val="1"/>
          <w:bCs w:val="1"/>
          <w:color w:val="auto"/>
        </w:rPr>
      </w:pPr>
    </w:p>
    <w:p>
      <w:pPr>
        <w:ind w:firstLine="656"/>
        <w:spacing w:after="0" w:line="252" w:lineRule="auto"/>
        <w:tabs>
          <w:tab w:leader="none" w:pos="88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expenses incident to the performance of or compliance with this Agreement by the Company of its obligations under Sections 2, 3, 5 and 8 hereof shall be borne by the Company whether or not the Exchange Offer Registration Statement or any Shelf Registration Statement is filed or becomes effective or the Exchange Offer is consummated, including, without limitation, (i) all registration and filing fees (including, without limitation, fees and expenses of compliance with state securities or Blue Sky laws (including, without limitation, reasonable fees and disbursements of counsel in connection with Blue Sky qualifications of the Transfer Restricted Securities or Exchange Securities as provided in Section 5(g)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payable by the Company with respect to fees and expenses of counsel pursuant to this clause (i) shall not, in the aggregate, exceed $20,000), (ii) printing expenses, including, without limitation, printing Prospectuses if the printing of Prospectuses is requested by the Holders of a majority in aggregate principal amount of the Transfer Restricted Securities included in any Registration Statement, or in respect of Transfer Restricted Securities or Exchange Securities to be sold by any Participating Broker-Dealer during the Applicable Period, as the case may be, (iii) fees and expenses of the Trustee and any exchange agent retained by the Company and their counsel, and (iv) fees and disbursements of counsel for the Company and, in the case of a Shelf Registration, subject to Section 6(b), reasonable and documented fees and disbursements of one firm of counsel for all of the sellers of Transfer Restricted Securities selected by the Holders of a majority in aggregate principal amount of Transfer Restricted Securities covered by such Shelf Registration (which counsel shall be reasonably satisfactory to the Company) exclusive of any counsel retained pursuant to Section 7 hereof (provided that the aggregate amount payable by the Company with respect to fees and expenses of counsel for the sellers of Transfer Restricted Securities pursuant to this clause (iv) shall not, in the aggregate, exceed $150,000);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 Holder shall pay all commissions and transfer taxes, if any, relating to the sale and disposition of such Holder’s Transfer Restricted Securities pursuant to the Shelf Registration Statement.</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57" w:name="page158"/>
    <w:bookmarkEnd w:id="157"/>
    <w:p>
      <w:pPr>
        <w:ind w:left="-8" w:right="20" w:firstLine="656"/>
        <w:spacing w:after="0" w:line="256" w:lineRule="auto"/>
        <w:tabs>
          <w:tab w:leader="none" w:pos="89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Registration Statement required by this Agreement (other than the Exchange Offer Registration Statement), the Company will reimburse the Initial Purchasers and the Holders of Transfer Restricted Securities being resold pursuant to the “</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contained in the Shelf Registration Statement for the reasonable and documented fees and disbursements of not more than one counsel, who shall be Latham &amp; Watkins LLP or such other counsel as may be chosen by the Holders of a majority in principal amount of the Transfer Restricted Securities for whose benefit such Shelf Registration Statement is being prepared (provided that the aggregate amount payable by the Company with respect to fees and expenses of counsel pursuant to this clause (b) shall not, in the aggregate, exceed $150,000).</w:t>
      </w:r>
    </w:p>
    <w:p>
      <w:pPr>
        <w:spacing w:after="0" w:line="183"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 AND CONTRIBUTION</w:t>
      </w:r>
    </w:p>
    <w:p>
      <w:pPr>
        <w:spacing w:after="0" w:line="229" w:lineRule="exact"/>
        <w:rPr>
          <w:rFonts w:ascii="Times New Roman" w:cs="Times New Roman" w:eastAsia="Times New Roman" w:hAnsi="Times New Roman"/>
          <w:sz w:val="18"/>
          <w:szCs w:val="18"/>
          <w:b w:val="1"/>
          <w:bCs w:val="1"/>
          <w:color w:val="auto"/>
        </w:rPr>
      </w:pPr>
    </w:p>
    <w:p>
      <w:pPr>
        <w:ind w:left="-8" w:firstLine="656"/>
        <w:spacing w:after="0" w:line="256" w:lineRule="auto"/>
        <w:tabs>
          <w:tab w:leader="none" w:pos="88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each Initial Purchaser and each affiliate of any Initial Purchaser within the meaning of Rule 405 under the Securities Act, each Holder of Transfer Restricted Securities, each Participating Broker-Dealer selling Exchange Securities during the Applicable Period and each affiliate of any Participating Broker-Dealer within the meaning of Rule 405 under the Securities Act, and each Person, if any, who controls such Person within the meaning of Section 15 of the Securities Act or Section 20 of the Exchange Act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against any losses, claims, damages or liabilities, joint or several, to which any Participant may become subject under the Securities Act, the Exchange Act or otherwise, insofar as any such losses, claims, damages or liabilities (or actions in respect thereof) arise out of or are based upon:</w:t>
      </w:r>
    </w:p>
    <w:p>
      <w:pPr>
        <w:spacing w:after="0" w:line="187" w:lineRule="exact"/>
        <w:rPr>
          <w:sz w:val="20"/>
          <w:szCs w:val="20"/>
          <w:color w:val="auto"/>
        </w:rPr>
      </w:pPr>
    </w:p>
    <w:p>
      <w:pPr>
        <w:ind w:left="-8" w:right="80" w:firstLine="656"/>
        <w:spacing w:after="0" w:line="282" w:lineRule="auto"/>
        <w:tabs>
          <w:tab w:leader="none" w:pos="8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of any material fact contained in any Registration Statement (or any amendment thereto) or Prospectus (as amended or supplemented if the Company shall have furnished any amendments or supplements thereto); or</w:t>
      </w:r>
    </w:p>
    <w:p>
      <w:pPr>
        <w:spacing w:after="0" w:line="161" w:lineRule="exact"/>
        <w:rPr>
          <w:rFonts w:ascii="Times New Roman" w:cs="Times New Roman" w:eastAsia="Times New Roman" w:hAnsi="Times New Roman"/>
          <w:sz w:val="18"/>
          <w:szCs w:val="18"/>
          <w:color w:val="auto"/>
        </w:rPr>
      </w:pPr>
    </w:p>
    <w:p>
      <w:pPr>
        <w:ind w:left="-8" w:right="20" w:firstLine="656"/>
        <w:spacing w:after="0" w:line="266" w:lineRule="auto"/>
        <w:tabs>
          <w:tab w:leader="none" w:pos="90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omission, or alleged omission to state, in any Registration Statement (or any amendment thereto) or Prospectus (as amended or supplemented if the Company shall have furnished any amendments or supplements thereto), a material fact required to be stated therein or necessary to make the statements therein (in the case of any such Prospectus, in the light of the circumstances under which such statement was made), not misleading;</w:t>
      </w:r>
    </w:p>
    <w:p>
      <w:pPr>
        <w:spacing w:after="0" w:line="392" w:lineRule="exact"/>
        <w:rPr>
          <w:sz w:val="20"/>
          <w:szCs w:val="20"/>
          <w:color w:val="auto"/>
        </w:rPr>
      </w:pPr>
    </w:p>
    <w:p>
      <w:pPr>
        <w:jc w:val="center"/>
        <w:ind w:right="-191"/>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52"/>
          </w:cols>
          <w:pgMar w:left="328" w:top="904" w:right="519" w:bottom="1440" w:gutter="0" w:footer="0" w:header="0"/>
        </w:sectPr>
      </w:pPr>
    </w:p>
    <w:bookmarkStart w:id="158" w:name="page159"/>
    <w:bookmarkEnd w:id="158"/>
    <w:p>
      <w:pPr>
        <w:spacing w:after="0" w:line="253" w:lineRule="auto"/>
        <w:rPr>
          <w:sz w:val="20"/>
          <w:szCs w:val="20"/>
          <w:color w:val="auto"/>
        </w:rPr>
      </w:pPr>
      <w:r>
        <w:rPr>
          <w:rFonts w:ascii="Times New Roman" w:cs="Times New Roman" w:eastAsia="Times New Roman" w:hAnsi="Times New Roman"/>
          <w:sz w:val="18"/>
          <w:szCs w:val="18"/>
          <w:color w:val="auto"/>
        </w:rPr>
        <w:t xml:space="preserve">and agree (subject to the limitations set forth in the proviso to this sentence) to reimburse, as incurred, the Participant for any reasonable legal or other expenses incurred by the Participant in connection with investigating, defending against or appearing as a third-party witness in connection with any such loss, claim, damage, liability or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will not be liable in any case under this Section 7(a) to the extent that any such loss, claim, damage or liability (A) arises out of or is based upon any untrue statement or omission or alleged untrue statement or alleged omission made in any Registration Statement (or any amendment thereto) or Prospectus (as amended or supplemented if the Company shall have furnished any amendments or supplements thereto) or any amendment or supplement thereto in reliance upon and in conformity with written information relating to any Participant furnished to the Company by such Participant specifically for use therein or (B) arising from an offer or sale of Securities or Exchange Securities occurring during a Shelf Suspension Period by a Holder or Participating Broker-Dealer to whom the Company theretofore provided notice thereof pursuant to Section 5(c) hereof. The indemnity provided for in this Section 7 will be in addition to any liability that the Company may otherwise have to the indemnified parties. The Company shall not be liable under this Section 7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the Company, which consent shall not be unreasonably withheld.</w:t>
      </w:r>
    </w:p>
    <w:p>
      <w:pPr>
        <w:spacing w:after="0" w:line="187" w:lineRule="exact"/>
        <w:rPr>
          <w:sz w:val="20"/>
          <w:szCs w:val="20"/>
          <w:color w:val="auto"/>
        </w:rPr>
      </w:pPr>
    </w:p>
    <w:p>
      <w:pPr>
        <w:ind w:right="20" w:firstLine="656"/>
        <w:spacing w:after="0" w:line="252" w:lineRule="auto"/>
        <w:tabs>
          <w:tab w:leader="none" w:pos="90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severally and not jointly, agrees to indemnify and hold harmless the Company, its directors, its officers and each Person, if any, who controls the Company within the meaning of Section 15 of the Securities Act or Section 20 of the Exchange Act against any losses, claims, damages or liabilities to which the Company or any such director, officer, representative, agent, employee or controlling person may become subject under the Securities Act, the Exchange Act or otherwise, insofar as such losses, claims, damages or liabilities (or actions in respect thereof) arise out of or are based upon (i) any untrue statement or alleged untrue statement of any material fact contained in any Registration Statement or Prospectus or any amendment or supplement thereto, (ii) the omission or the alleged omission to state therein a material fact necessary to make the statements therein not misleading (in the case of any such Prospectus, in the light of the circumstances under which such statements were made), in each case to the extent, but only to the extent, that such untrue statement or omission or alleged untrue statement or alleged omission was made in reliance upon and in conformity with written information concerning such Participant furnished to the Company by or on behalf of such Participant specifically for use therein or (iii) an offer or sale of Securities or Exchange Securities occurring during a Shelf Suspension Period by a Holder or Participating Broker-Dealer to whom the Company theretofore provided notice thereof pursuant to Section 5(c) hereof; and subject to the limitation set forth immediately preceding this clause, will reimburse, as incurred, any reasonable legal or other expenses incurred by the Company or any such director, officer, representative, agent, employee or controlling person in connection with investigating or defending against or appearing as a third-party witness in connection with any such loss, claim, damage, liability or action in respect thereof. The indemnity provided for in this Section 7 will be in addition to any liability that the Participants may otherwise have to the indemnified parties. A Participant shall not be liable under this Section 7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Participant, which consent shall not be unreasonably withheld.</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59" w:name="page160"/>
    <w:bookmarkEnd w:id="159"/>
    <w:p>
      <w:pPr>
        <w:ind w:left="-8" w:firstLine="656"/>
        <w:spacing w:after="0" w:line="255" w:lineRule="auto"/>
        <w:tabs>
          <w:tab w:leader="none" w:pos="88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party under this Section 7 of notice of the commencement of any action, such indemnified party shall, if a claim in respect thereof is to be made against the indemnifying party under this Section 7, notify the indemnifying party of the commencement thereof in writing; but the omission to so notify the indemnifying party (i) will not relieve it from any liability under paragraph (a) or (b) above unless and to the extent it did not otherwise learn of such action and such failure results in the forfeiture by the indemnifying party of substantial rights and defenses and</w:t>
      </w:r>
    </w:p>
    <w:p>
      <w:pPr>
        <w:spacing w:after="0" w:line="2" w:lineRule="exact"/>
        <w:rPr>
          <w:rFonts w:ascii="Times New Roman" w:cs="Times New Roman" w:eastAsia="Times New Roman" w:hAnsi="Times New Roman"/>
          <w:sz w:val="18"/>
          <w:szCs w:val="18"/>
          <w:color w:val="auto"/>
        </w:rPr>
      </w:pPr>
    </w:p>
    <w:p>
      <w:pPr>
        <w:ind w:left="-8" w:right="100" w:firstLine="8"/>
        <w:spacing w:after="0" w:line="250" w:lineRule="auto"/>
        <w:tabs>
          <w:tab w:leader="none" w:pos="25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will not, in any event, relieve the indemnifying party from any obligations to any indemnified party other than the indemnification obligation provided in paragraphs (a) and (b) above. The indemnifying party shall be entitled to appoint counsel (including local counsel in each applicable jurisdiction) of the indemnifying party’s choice at the indemnifying party’s expense to represent the indemnified party in any action for which indemnification is sought (in which case the indemnifying party shall not thereafter be responsible for the fees and expenses of any separate counsel, other than local counsel if not appointed by the indemnifying party, retained by the indemnified party or parties except as set forth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counsel shall be reasonably satisfactory to the indemnified party. Notwithstanding the indemnifying party’s election to appoint counsel (including local counsel in each applicable jurisdiction) to represent the indemnified party in an action, the indemnified party shall have the right to employ separate counsel (including local counsel in each applicable jurisdiction), and the indemnifying party shall bear the reasonable fees, costs and expenses of such separate counsel if</w:t>
      </w:r>
    </w:p>
    <w:p>
      <w:pPr>
        <w:spacing w:after="0" w:line="3" w:lineRule="exact"/>
        <w:rPr>
          <w:rFonts w:ascii="Times New Roman" w:cs="Times New Roman" w:eastAsia="Times New Roman" w:hAnsi="Times New Roman"/>
          <w:sz w:val="18"/>
          <w:szCs w:val="18"/>
          <w:color w:val="auto"/>
        </w:rPr>
      </w:pPr>
    </w:p>
    <w:p>
      <w:pPr>
        <w:ind w:left="-8" w:right="40" w:firstLine="8"/>
        <w:spacing w:after="0" w:line="251" w:lineRule="auto"/>
        <w:tabs>
          <w:tab w:leader="none" w:pos="20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counsel chosen by the indemnifying party to represent the indemnified party would present such counsel with a conflict of interest (based on the advice of counsel to the indemnified party); (ii) such action includes both the indemnified party and the indemnifying party and the indemnified party shall have reasonably concluded (based on the advice of counsel to the indemnified party) that there may be legal defenses available to it and/or other indemnified parties that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It is understood and agreed that the indemnifying party shall not, in connection with any proceeding or separate but related or substantially similar proceedings in the same jurisdiction arising out of the same general allegations or circumstances, be liable for the reasonable fees and expenses of more than one separate firm (in addition to one local counsel in each applicable jurisdiction) representing the indemnified parties under paragraph (a) or paragraph (b) of this Section 7, as the case may be, who are parties to such action or actions. Any such separate firm for any Participants shall be designated in writing by Participants who sold a majority in interest of the Transfer Restricted Securities and Exchange Securities sold by all such Participants, in the case of paragraph (a) of this Section 7, or the Company, in the case of paragraph (b) of this Section 7. An indemnifying party shall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statement as to, or any admission of, fault, culpability or failure to act by or on behalf of any indemnified party. All fees and expenses reimbursed pursuant to this paragraph (c) shall be reimbursed as they are incurred and following a written request therefor.</w:t>
      </w:r>
    </w:p>
    <w:p>
      <w:pPr>
        <w:spacing w:after="0" w:line="200" w:lineRule="exact"/>
        <w:rPr>
          <w:sz w:val="20"/>
          <w:szCs w:val="20"/>
          <w:color w:val="auto"/>
        </w:rPr>
      </w:pPr>
    </w:p>
    <w:p>
      <w:pPr>
        <w:spacing w:after="0" w:line="20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160" w:name="page161"/>
    <w:bookmarkEnd w:id="160"/>
    <w:p>
      <w:pPr>
        <w:ind w:left="-8" w:right="120" w:firstLine="656"/>
        <w:spacing w:after="0" w:line="255" w:lineRule="auto"/>
        <w:tabs>
          <w:tab w:leader="none" w:pos="88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notice from the indemnifying party to such indemnified party of its election so to assume the defense thereof and approval by such indemnified party of counsel appointed to defend such action, the indemnifying party shall not be liable to such indemnified party under this Section 7 for any legal or other expenses, other than reasonable costs of investigation, subsequently incurred by such indemnified party in connection with the defense thereof, unless (i) the indemnified party shall have employed separate counsel in accordance with the third sentence of paragraph (c) of this Section 7, or</w:t>
      </w:r>
    </w:p>
    <w:p>
      <w:pPr>
        <w:spacing w:after="0" w:line="2" w:lineRule="exact"/>
        <w:rPr>
          <w:rFonts w:ascii="Times New Roman" w:cs="Times New Roman" w:eastAsia="Times New Roman" w:hAnsi="Times New Roman"/>
          <w:sz w:val="18"/>
          <w:szCs w:val="18"/>
          <w:color w:val="auto"/>
        </w:rPr>
      </w:pPr>
    </w:p>
    <w:p>
      <w:pPr>
        <w:ind w:left="-8" w:right="40" w:firstLine="8"/>
        <w:spacing w:after="0" w:line="253" w:lineRule="auto"/>
        <w:tabs>
          <w:tab w:leader="none" w:pos="25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indemnifying party has authorized in writing the employment of counsel for the indemnified party at the expense of the indemnifying party. After such notice from the indemnifying party to such indemnified party, the indemnifying party will not be liable for the costs and expenses of any settlement of such action effected by such indemnified party without the prior written consent of the indemnifying party (which consent shall not be unreasonably withheld), unless such indemnified party waived in writing its rights under this Section 7, in which case the indemnified party may effect such a settlement without such consent.</w:t>
      </w:r>
    </w:p>
    <w:p>
      <w:pPr>
        <w:spacing w:after="0" w:line="186" w:lineRule="exact"/>
        <w:rPr>
          <w:rFonts w:ascii="Times New Roman" w:cs="Times New Roman" w:eastAsia="Times New Roman" w:hAnsi="Times New Roman"/>
          <w:sz w:val="18"/>
          <w:szCs w:val="18"/>
          <w:color w:val="auto"/>
        </w:rPr>
      </w:pPr>
    </w:p>
    <w:p>
      <w:pPr>
        <w:ind w:left="-8" w:firstLine="656"/>
        <w:spacing w:after="0" w:line="251" w:lineRule="auto"/>
        <w:tabs>
          <w:tab w:leader="none" w:pos="885"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circumstances in which the indemnity agreement provided for in the preceding paragraphs of this Section 7 is unavailable to, or insufficient to hold harmless, an indemnified party in respect of any losses, claims, damages or liabilities (or actions in respect thereof) (other than for the reasons specified in Section 7(a) or 7(b) hereof, including by virtue of the failure of an indemnified party to notify the indemnifying party of its right to indemnification pursuant to paragraph (a) or (b) of this Section 7, where such failure materially prejudices the indemnifying party (through the forfeiture of substantial rights or defenses)), each indemnifying party, in order to provide for just and equitable contribution, shall contribute to the amount paid or payable by such indemnified party as a result of such losses, claims, damages or liabilities (or actions in respect thereof) in such proportion as is appropriate to reflect (i) the relative benefits received by the indemnifying party or parties, on the one hand, and the indemnified party, on the other, from the offering of the Securities, or (ii) if the allocation provided by the foregoing clause (i) is not permitted by applicable law, not only such relative benefits but also the relative fault of the indemnifying party or parties, on the one hand, and the indemnified party, on the other, in connection with the statements or omissions or alleged statements or omissions that resulted in such losses, claims, damages or liabilities (or actions in respect thereof). The relative benefits received by the Company, on the one hand, and the Participants, on the other, shall be deemed to be in the same proportion that the total net proceeds from the offering (before deducting expenses) of the Securities received by the Company bear to the total discounts and commissions received by the Participants in connection with the initial sale of the Securities by the Company (or if such Participant did not receive a discount from the Company with respect to the initial sale of the Securities by the Company, the net proceeds received by such Participant from the sale of Securities, Exchange Securities or Private Exchange Notes pursuant to such Registration Statement). The relative fault of the parties shall be determined by reference to, among other things, whether the untrue or alleged untrue statement of a material fact or the omission or alleged omission to state a material fact relates to information supplied by the Company, on the one hand, or the Participants, on the other hand, the parties’ relative intent, knowledge, access to information and opportunity to correct or prevent such statement or omission or alleged statement or omission, and any other equitable considerations appropriate in the circumstances. The parties agree that it would not be equitable if the amount of such contribution were determined by pro rata or per capita allocation or by any other method of allocation that does not take into account the equitable considerations referred to in the first sentence of this paragraph (e). Notwithstanding any other provision of this paragraph (e), no Participant shall be obligated to make contributions hereunder that in the aggregate exceed the total discounts, commissions and other compensation or net proceeds, as applicable, on the sale of Securities received by such Participant in connection with the sale of the Securities, less the aggregate amount of any damages that such Participant has otherwise been required to pay by reason of the untrue or alleged untrue statements or the omissions or alleged omissions to state a material fact, and no person guilty of fraudulent misrepresentation (within the meaning of Section 11(f) of the Securities Act) shall be entitled to contribution from any person who was not guilty of such fraudulent misrepresentation. For purposes of this paragraph (e), each person, if any, who controls a Participant within the meaning of Section 15 of the Securities Act or Section 20 of the Exchange Act shall have the same rights to contribution as the Participants, and each director, member or manager, as applicable, of the Company, each officer of the Company, and each person, if any, who controls the Company within the meaning of Section 15 of the Securities Act or Section 20 of the Exchange Act, shall have the same rights to contribution as the Company.</w:t>
      </w:r>
    </w:p>
    <w:p>
      <w:pPr>
        <w:spacing w:after="0" w:line="200" w:lineRule="exact"/>
        <w:rPr>
          <w:sz w:val="20"/>
          <w:szCs w:val="20"/>
          <w:color w:val="auto"/>
        </w:rPr>
      </w:pPr>
    </w:p>
    <w:p>
      <w:pPr>
        <w:spacing w:after="0" w:line="21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161" w:name="page162"/>
    <w:bookmarkEnd w:id="161"/>
    <w:p>
      <w:pPr>
        <w:ind w:left="180" w:hanging="172"/>
        <w:spacing w:after="0"/>
        <w:tabs>
          <w:tab w:leader="none" w:pos="1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RULE 144A</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Company covenants and agrees that it will use its commercially reasonable efforts to file the reports required to be filed by it under the Securities Act and the Exchange Act and the rules and regulations adopted by the SEC thereunder in a timely manner in accordance with the requirements of the Securities Act and the Exchange Act and, if at any time the Company is not required to file such reports and does not otherwise file such reports pursuant to the terms of the Indenture, the Company shall, upon the request of any Holder or beneficial owner of Transfer Restricted Securities, make available the information required by Rule 144A(d)(4) under the Securities Act in order to permit sales pursuant to Rule 144A.</w:t>
      </w:r>
    </w:p>
    <w:p>
      <w:pPr>
        <w:spacing w:after="0" w:line="179" w:lineRule="exact"/>
        <w:rPr>
          <w:sz w:val="20"/>
          <w:szCs w:val="20"/>
          <w:color w:val="auto"/>
        </w:rPr>
      </w:pPr>
    </w:p>
    <w:p>
      <w:pPr>
        <w:ind w:left="180" w:hanging="172"/>
        <w:spacing w:after="0"/>
        <w:tabs>
          <w:tab w:leader="none" w:pos="18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UNDERWRITTEN REGISTRATIONS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the Company shall not be required to assist in an underwritten offering of the Transfer Restricted Securities.</w:t>
      </w:r>
    </w:p>
    <w:p>
      <w:pPr>
        <w:spacing w:after="0" w:line="158" w:lineRule="exact"/>
        <w:rPr>
          <w:sz w:val="20"/>
          <w:szCs w:val="20"/>
          <w:color w:val="auto"/>
        </w:rPr>
      </w:pPr>
    </w:p>
    <w:p>
      <w:pPr>
        <w:ind w:left="280" w:hanging="272"/>
        <w:spacing w:after="0"/>
        <w:tabs>
          <w:tab w:leader="none" w:pos="28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rFonts w:ascii="Times New Roman" w:cs="Times New Roman" w:eastAsia="Times New Roman" w:hAnsi="Times New Roman"/>
          <w:sz w:val="18"/>
          <w:szCs w:val="18"/>
          <w:b w:val="1"/>
          <w:bCs w:val="1"/>
          <w:color w:val="auto"/>
        </w:rPr>
      </w:pPr>
    </w:p>
    <w:p>
      <w:pPr>
        <w:jc w:val="both"/>
        <w:ind w:right="100" w:firstLine="656"/>
        <w:spacing w:after="0" w:line="281" w:lineRule="auto"/>
        <w:tabs>
          <w:tab w:leader="none" w:pos="892"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Inconsistent Agreements</w:t>
      </w:r>
      <w:r>
        <w:rPr>
          <w:rFonts w:ascii="Times New Roman" w:cs="Times New Roman" w:eastAsia="Times New Roman" w:hAnsi="Times New Roman"/>
          <w:sz w:val="17"/>
          <w:szCs w:val="17"/>
          <w:color w:val="auto"/>
        </w:rPr>
        <w:t>. The Company has not as of the date hereof entered, and the Company shall not after the date of this Agreement enter, into any agreement with respect to any of the Company’s securities that is inconsistent with the rights granted to the Holders of Transfer Restricted Securities in this Agreement or otherwise conflicts with the provisions hereof. The rights granted to the Holders hereunder do not in any way conflict with and are not inconsistent with the rights granted to the holders of the Company’s other issued and outstanding securities, if any, under any such agreements.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2" w:name="page163"/>
    <w:bookmarkEnd w:id="162"/>
    <w:p>
      <w:pPr>
        <w:ind w:right="200" w:firstLine="656"/>
        <w:spacing w:after="0" w:line="266" w:lineRule="auto"/>
        <w:tabs>
          <w:tab w:leader="none" w:pos="90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Affecting Transfer Restricted Securities</w:t>
      </w:r>
      <w:r>
        <w:rPr>
          <w:rFonts w:ascii="Times New Roman" w:cs="Times New Roman" w:eastAsia="Times New Roman" w:hAnsi="Times New Roman"/>
          <w:sz w:val="18"/>
          <w:szCs w:val="18"/>
          <w:color w:val="auto"/>
        </w:rPr>
        <w:t>. The Company shall not, directly or indirectly, take any action with respect to the Transfer Restricted Securities as a class that would adversely affect the ability of the Company to consummate the Exchange Offer on the terms specified herein or effect any Shelf Registration required by this Agreement.</w:t>
      </w:r>
    </w:p>
    <w:p>
      <w:pPr>
        <w:spacing w:after="0" w:line="175" w:lineRule="exact"/>
        <w:rPr>
          <w:rFonts w:ascii="Times New Roman" w:cs="Times New Roman" w:eastAsia="Times New Roman" w:hAnsi="Times New Roman"/>
          <w:sz w:val="18"/>
          <w:szCs w:val="18"/>
          <w:color w:val="auto"/>
        </w:rPr>
      </w:pPr>
    </w:p>
    <w:p>
      <w:pPr>
        <w:ind w:firstLine="656"/>
        <w:spacing w:after="0" w:line="252" w:lineRule="auto"/>
        <w:tabs>
          <w:tab w:leader="none" w:pos="89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The provisions of this Agreement may not be amended, modified or supplemented, and waivers or consents to departures from the provisions hereof may not be given, otherwise than with the prior written consent of (I) the Company, and (II) the Holders of not less than a majority in aggregate principal amount of the then outstanding Transfer Restricted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Section 7 hereof and this Section 10(c) may not be amended, modified or supplemented, the rate at which Additional Interest accrues pursuant to Section 4(a) hereof may not be reduced, and the time for payment of Additional Interest pursuant to Section 4(a) hereof may not be changed, in each case, without the prior written consent of each Holder (including any person who was a Holder of Transfer Restricted Securities or Exchange Securities disposed of pursuant to any Registration Statement) affected by any such amendment, modification or supplement;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 consent is necessary from any Holder in the event that this Agreement is amended, modified or supplemented for the purpose of curing any ambiguity, defect or inconsistency that does not adversely affect the rights of any Holder, as determined by the Company in its reasonable discretion. Notwithstanding the foregoing, (A) a waiver or consent to depart from the provisions hereof with respect to a matter that relates exclusively to the rights of Holders whose Securities are being tendered pursuant to the Exchange Offer and that does not affect directly or indirectly the rights of other Holders whose Securities are not being tendered pursuant to such Exchange Offer may be given by the Holders of a majority of the outstanding principal amount of Transfer Restricted Securities being tendered or registered and (B) a waiver or consent to depart from the provisions hereof with respect to a matter that relates exclusively to the rights of Holders of Transfer Restricted Securities whose Securities are being sold pursuant to a Registration Statement and that does not directly or indirectly affect, impair, limit or compromise the rights of other Holders of Transfer Restricted Securities may be given by Holders of at least a majority in aggregate principal amount of the Transfer Restricted Securities being sold pursuant to such Registration Statement.</w:t>
      </w:r>
    </w:p>
    <w:p>
      <w:pPr>
        <w:spacing w:after="0" w:line="194"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(including, without limitation, any notices or other communications to the Trustee) provided for or permitted hereunder shall be made in writing by hand-delivery, registered first-class mail, next-day air courier, facsimile or electronic mail:</w:t>
      </w:r>
    </w:p>
    <w:p>
      <w:pPr>
        <w:spacing w:after="0" w:line="162" w:lineRule="exact"/>
        <w:rPr>
          <w:sz w:val="20"/>
          <w:szCs w:val="20"/>
          <w:color w:val="auto"/>
        </w:rPr>
      </w:pPr>
    </w:p>
    <w:p>
      <w:pPr>
        <w:ind w:right="560" w:firstLine="656"/>
        <w:spacing w:after="0" w:line="266" w:lineRule="auto"/>
        <w:tabs>
          <w:tab w:leader="none" w:pos="86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 Holder of the Transfer Restricted Securities or any Participating Broker-Dealer, at the most current address of such Holder or Participating Broker-Dealer, as the case may be, set forth on the records of the registrar under the Indenture, with a copy in like manner to the Initial Purchasers as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Investment Grade Syndicate Desk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(212) 834-6081</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(646) 291-1469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1585 Broadway, 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Investment Grade Syndicate Desk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Toll-Free: (800) 624-1808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 (212) 761-1057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Stelios Saffos, Erika Weinberg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Stelios.Saffos@lw.com; Erika.Weinberg@lw.com</w:t>
      </w:r>
    </w:p>
    <w:p>
      <w:pPr>
        <w:spacing w:after="0" w:line="207" w:lineRule="exact"/>
        <w:rPr>
          <w:sz w:val="20"/>
          <w:szCs w:val="20"/>
          <w:color w:val="auto"/>
        </w:rPr>
      </w:pPr>
    </w:p>
    <w:p>
      <w:pPr>
        <w:ind w:left="920" w:hanging="264"/>
        <w:spacing w:after="0"/>
        <w:tabs>
          <w:tab w:leader="none" w:pos="9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the Initial Purchasers, at the address specified in Section 10(d)(i) hereof;</w:t>
      </w:r>
    </w:p>
    <w:p>
      <w:pPr>
        <w:spacing w:after="0" w:line="236"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at the address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619100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75261-9100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(972) 281-1200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1301 Pennsylvania Avenue, N.W.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Rachel W. Sheridan, P.C., Shagufa R. Hossain, P.C.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rachel.sheridan@kirkland.com; shagufa.hossain@kirkland.com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601 Lexington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Asher Qazi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asher.qazi@kirkland.com</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64" w:name="page165"/>
    <w:bookmarkEnd w:id="164"/>
    <w:p>
      <w:pPr>
        <w:ind w:firstLine="648"/>
        <w:spacing w:after="0" w:line="266" w:lineRule="auto"/>
        <w:rPr>
          <w:sz w:val="20"/>
          <w:szCs w:val="20"/>
          <w:color w:val="auto"/>
        </w:rPr>
      </w:pPr>
      <w:r>
        <w:rPr>
          <w:rFonts w:ascii="Times New Roman" w:cs="Times New Roman" w:eastAsia="Times New Roman" w:hAnsi="Times New Roman"/>
          <w:sz w:val="18"/>
          <w:szCs w:val="18"/>
          <w:color w:val="auto"/>
        </w:rPr>
        <w:t>All such notices and communications shall be deemed to have been duly given: when delivered by hand, if personally delivered; five Business Days after being deposited in the mail, postage prepaid, if mailed; one Business Day after being timely delivered to a next-day air courier; and upon receipt of confirmation, if sent by facsimile or electronic mail.</w:t>
      </w:r>
    </w:p>
    <w:p>
      <w:pPr>
        <w:spacing w:after="0" w:line="17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Copies of all such notices, demands or other communications shall be concurrently delivered by the Person giving the same to the Trustee at the address and in the manner specified in such Indenture.</w:t>
      </w:r>
    </w:p>
    <w:p>
      <w:pPr>
        <w:spacing w:after="0" w:line="162" w:lineRule="exact"/>
        <w:rPr>
          <w:sz w:val="20"/>
          <w:szCs w:val="20"/>
          <w:color w:val="auto"/>
        </w:rPr>
      </w:pPr>
    </w:p>
    <w:p>
      <w:pPr>
        <w:ind w:right="120" w:firstLine="656"/>
        <w:spacing w:after="0" w:line="258" w:lineRule="auto"/>
        <w:tabs>
          <w:tab w:leader="none" w:pos="89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inure to the benefit of and be binding upon the successors and permitted assigns of each of the parties, including, without limitation, and without the need for an express assignment, subsequent Holders of Transfer Restricted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Agreement shall not inure to the benefit of or be binding upon a successor or assign of a Holder unless and to the extent such successor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assign acquired Transfer Restricted Securities from such Holder;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nothing herein shall be deemed to permit any assignment, transfer or other disposition of Transfer Restricted Securities in violation of the terms of the Purchase Agreement or the Indenture.</w:t>
      </w:r>
    </w:p>
    <w:p>
      <w:pPr>
        <w:spacing w:after="0" w:line="183" w:lineRule="exact"/>
        <w:rPr>
          <w:rFonts w:ascii="Times New Roman" w:cs="Times New Roman" w:eastAsia="Times New Roman" w:hAnsi="Times New Roman"/>
          <w:sz w:val="18"/>
          <w:szCs w:val="18"/>
          <w:color w:val="auto"/>
        </w:rPr>
      </w:pPr>
    </w:p>
    <w:p>
      <w:pPr>
        <w:ind w:firstLine="656"/>
        <w:spacing w:after="0" w:line="281" w:lineRule="auto"/>
        <w:tabs>
          <w:tab w:leader="none" w:pos="873"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signed in one or more counterparts, each of which shall constitute an original and all of which together shall constitute one and the same agreement. Delivery of an executed counterpart of a signature page to this Agreement by telecopier, facsimile or other electronic transmission (i.e., a “pdf” or “tif”, including any electronic signature complying with the New York Electronic Signatures and Records Act (N.Y. State Tech. §§ 301 309), as amended from time to time, or other applicable law) shall be effective as delivery of a manually executed counterpart thereof.</w:t>
      </w:r>
    </w:p>
    <w:p>
      <w:pPr>
        <w:spacing w:after="0" w:line="164" w:lineRule="exact"/>
        <w:rPr>
          <w:rFonts w:ascii="Times New Roman" w:cs="Times New Roman" w:eastAsia="Times New Roman" w:hAnsi="Times New Roman"/>
          <w:sz w:val="17"/>
          <w:szCs w:val="17"/>
          <w:color w:val="auto"/>
        </w:rPr>
      </w:pPr>
    </w:p>
    <w:p>
      <w:pPr>
        <w:ind w:left="920" w:hanging="264"/>
        <w:spacing w:after="0"/>
        <w:tabs>
          <w:tab w:leader="none" w:pos="9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convenience of reference only and shall not limit or otherwise affect the meaning hereof.</w:t>
      </w:r>
    </w:p>
    <w:p>
      <w:pPr>
        <w:spacing w:after="0" w:line="225" w:lineRule="exact"/>
        <w:rPr>
          <w:rFonts w:ascii="Times New Roman" w:cs="Times New Roman" w:eastAsia="Times New Roman" w:hAnsi="Times New Roman"/>
          <w:sz w:val="18"/>
          <w:szCs w:val="18"/>
          <w:color w:val="auto"/>
        </w:rPr>
      </w:pPr>
    </w:p>
    <w:p>
      <w:pPr>
        <w:ind w:right="100" w:firstLine="656"/>
        <w:spacing w:after="0" w:line="266" w:lineRule="auto"/>
        <w:tabs>
          <w:tab w:leader="none" w:pos="90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NEW YORK. EACH OF THE PARTIES HEREBY WAIVES ANY RIGHT TO TRIAL BY JURY IN ANY ACTION, PROCEEDING OR COUNTERCLAIM ARISING OUT OF OR RELATING TO THIS AGREEMENT.</w:t>
      </w:r>
    </w:p>
    <w:p>
      <w:pPr>
        <w:spacing w:after="0" w:line="175" w:lineRule="exact"/>
        <w:rPr>
          <w:rFonts w:ascii="Times New Roman" w:cs="Times New Roman" w:eastAsia="Times New Roman" w:hAnsi="Times New Roman"/>
          <w:sz w:val="18"/>
          <w:szCs w:val="18"/>
          <w:color w:val="auto"/>
        </w:rPr>
      </w:pPr>
    </w:p>
    <w:p>
      <w:pPr>
        <w:ind w:right="20" w:firstLine="656"/>
        <w:spacing w:after="0" w:line="256" w:lineRule="auto"/>
        <w:tabs>
          <w:tab w:leader="none" w:pos="86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respective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65" w:name="page166"/>
    <w:bookmarkEnd w:id="165"/>
    <w:p>
      <w:pPr>
        <w:ind w:left="-40" w:right="40" w:firstLine="656"/>
        <w:spacing w:after="0" w:line="266" w:lineRule="auto"/>
        <w:tabs>
          <w:tab w:leader="none" w:pos="82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Held by the Company or Any of its Affiliates</w:t>
      </w:r>
      <w:r>
        <w:rPr>
          <w:rFonts w:ascii="Times New Roman" w:cs="Times New Roman" w:eastAsia="Times New Roman" w:hAnsi="Times New Roman"/>
          <w:sz w:val="18"/>
          <w:szCs w:val="18"/>
          <w:color w:val="auto"/>
        </w:rPr>
        <w:t>. Whenever the consent or approval of Holders of a specified percentage of Transfer Restricted Securities is required hereunder, Transfer Restricted Securities held by the Company or any of its controlled affiliates (as such term is defined in Rule 405) shall not be counted in determining whether such consent or approval was given by the Holders of such required percentage.</w:t>
      </w:r>
    </w:p>
    <w:p>
      <w:pPr>
        <w:spacing w:after="0" w:line="175" w:lineRule="exact"/>
        <w:rPr>
          <w:rFonts w:ascii="Times New Roman" w:cs="Times New Roman" w:eastAsia="Times New Roman" w:hAnsi="Times New Roman"/>
          <w:sz w:val="18"/>
          <w:szCs w:val="18"/>
          <w:color w:val="auto"/>
        </w:rPr>
      </w:pPr>
    </w:p>
    <w:p>
      <w:pPr>
        <w:ind w:left="-40" w:right="100" w:firstLine="656"/>
        <w:spacing w:after="0" w:line="282" w:lineRule="auto"/>
        <w:tabs>
          <w:tab w:leader="none" w:pos="86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Holders of Transfer Restricted Securities and Participating Broker-Dealers are intended third-party beneficiaries of this Agreement, and this Agreement may be enforced by such Persons to the extent necessary to protect the rights of the Holders hereunder.</w:t>
      </w:r>
    </w:p>
    <w:p>
      <w:pPr>
        <w:spacing w:after="0" w:line="161" w:lineRule="exact"/>
        <w:rPr>
          <w:rFonts w:ascii="Times New Roman" w:cs="Times New Roman" w:eastAsia="Times New Roman" w:hAnsi="Times New Roman"/>
          <w:sz w:val="18"/>
          <w:szCs w:val="18"/>
          <w:color w:val="auto"/>
        </w:rPr>
      </w:pPr>
    </w:p>
    <w:p>
      <w:pPr>
        <w:ind w:left="-40" w:firstLine="656"/>
        <w:spacing w:after="0" w:line="258" w:lineRule="auto"/>
        <w:tabs>
          <w:tab w:leader="none" w:pos="82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Purchase Agreement and the Indenture, is intended by the parties as a final and exclusive statement of the agreement and understanding of the parties hereto in respect of the subject matter contained herein and therein and any and all prior oral or written agreements, representations, or warranties, contracts, understandings, correspondence, conversations and memoranda between the Holders and Initial Purchasers, on the one hand, and the Company, on the other hand, or between or among any agents, representatives, parents, subsidiaries, affiliates, predecessors in interest or successors in interest with respect to the subject matter hereof and thereof are merged herein and replaced hereby.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60" w:top="904" w:right="37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KIMBERLY-CLARK CORPORATION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Flavio Costa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Flavio Costa</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color w:val="auto"/>
        </w:rPr>
        <w:t>Title:   Vice President and Treasurer</w:t>
      </w:r>
    </w:p>
    <w:p>
      <w:pPr>
        <w:spacing w:after="0" w:line="218"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[Signature Pages to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291465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67" w:name="page168"/>
    <w:bookmarkEnd w:id="167"/>
    <w:p>
      <w:pPr>
        <w:ind w:left="660"/>
        <w:spacing w:after="0"/>
        <w:rPr>
          <w:sz w:val="20"/>
          <w:szCs w:val="20"/>
          <w:color w:val="auto"/>
        </w:rPr>
      </w:pPr>
      <w:r>
        <w:rPr>
          <w:rFonts w:ascii="Times New Roman" w:cs="Times New Roman" w:eastAsia="Times New Roman" w:hAnsi="Times New Roman"/>
          <w:sz w:val="18"/>
          <w:szCs w:val="18"/>
          <w:color w:val="auto"/>
        </w:rPr>
        <w:t>The foregoing Agreement is hereby confirmed and accepted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Som Bhattacharyya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Som Bhattacharyya</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7" w:lineRule="exact"/>
        <w:rPr>
          <w:sz w:val="20"/>
          <w:szCs w:val="20"/>
          <w:color w:val="auto"/>
        </w:rPr>
      </w:pPr>
    </w:p>
    <w:p>
      <w:pPr>
        <w:jc w:val="right"/>
        <w:ind w:right="2519"/>
        <w:spacing w:after="0"/>
        <w:rPr>
          <w:sz w:val="20"/>
          <w:szCs w:val="20"/>
          <w:color w:val="auto"/>
        </w:rPr>
      </w:pPr>
      <w:r>
        <w:rPr>
          <w:rFonts w:ascii="Times New Roman" w:cs="Times New Roman" w:eastAsia="Times New Roman" w:hAnsi="Times New Roman"/>
          <w:sz w:val="18"/>
          <w:szCs w:val="18"/>
          <w:color w:val="auto"/>
        </w:rPr>
        <w:t>[Signature Pages to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68" w:name="page169"/>
    <w:bookmarkEnd w:id="168"/>
    <w:p>
      <w:pPr>
        <w:ind w:left="660"/>
        <w:spacing w:after="0"/>
        <w:rPr>
          <w:sz w:val="20"/>
          <w:szCs w:val="20"/>
          <w:color w:val="auto"/>
        </w:rPr>
      </w:pPr>
      <w:r>
        <w:rPr>
          <w:rFonts w:ascii="Times New Roman" w:cs="Times New Roman" w:eastAsia="Times New Roman" w:hAnsi="Times New Roman"/>
          <w:sz w:val="18"/>
          <w:szCs w:val="18"/>
          <w:color w:val="auto"/>
        </w:rPr>
        <w:t>The foregoing Agreement is hereby confirmed and accepted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Adam D. Bordner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Adam D. Bordner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jc w:val="right"/>
        <w:ind w:right="2519"/>
        <w:spacing w:after="0"/>
        <w:rPr>
          <w:sz w:val="20"/>
          <w:szCs w:val="20"/>
          <w:color w:val="auto"/>
        </w:rPr>
      </w:pPr>
      <w:r>
        <w:rPr>
          <w:rFonts w:ascii="Times New Roman" w:cs="Times New Roman" w:eastAsia="Times New Roman" w:hAnsi="Times New Roman"/>
          <w:sz w:val="18"/>
          <w:szCs w:val="18"/>
          <w:color w:val="auto"/>
        </w:rPr>
        <w:t>[Signature Pages to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69" w:name="page170"/>
    <w:bookmarkEnd w:id="169"/>
    <w:p>
      <w:pPr>
        <w:ind w:left="660"/>
        <w:spacing w:after="0"/>
        <w:rPr>
          <w:sz w:val="20"/>
          <w:szCs w:val="20"/>
          <w:color w:val="auto"/>
        </w:rPr>
      </w:pPr>
      <w:r>
        <w:rPr>
          <w:rFonts w:ascii="Times New Roman" w:cs="Times New Roman" w:eastAsia="Times New Roman" w:hAnsi="Times New Roman"/>
          <w:sz w:val="18"/>
          <w:szCs w:val="18"/>
          <w:color w:val="auto"/>
        </w:rPr>
        <w:t>The foregoing Agreement is hereby confirmed and accepted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Julie Blanco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Julie Blanco</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7" w:lineRule="exact"/>
        <w:rPr>
          <w:sz w:val="20"/>
          <w:szCs w:val="20"/>
          <w:color w:val="auto"/>
        </w:rPr>
      </w:pPr>
    </w:p>
    <w:p>
      <w:pPr>
        <w:jc w:val="right"/>
        <w:ind w:right="2519"/>
        <w:spacing w:after="0"/>
        <w:rPr>
          <w:sz w:val="20"/>
          <w:szCs w:val="20"/>
          <w:color w:val="auto"/>
        </w:rPr>
      </w:pPr>
      <w:r>
        <w:rPr>
          <w:rFonts w:ascii="Times New Roman" w:cs="Times New Roman" w:eastAsia="Times New Roman" w:hAnsi="Times New Roman"/>
          <w:sz w:val="18"/>
          <w:szCs w:val="18"/>
          <w:color w:val="auto"/>
        </w:rPr>
        <w:t>[Signature Pages to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70" w:name="page171"/>
    <w:bookmarkEnd w:id="170"/>
    <w:p>
      <w:pPr>
        <w:jc w:val="center"/>
        <w:ind w:right="-1120"/>
        <w:spacing w:after="0"/>
        <w:rPr>
          <w:sz w:val="20"/>
          <w:szCs w:val="20"/>
          <w:color w:val="auto"/>
        </w:rPr>
      </w:pPr>
      <w:r>
        <w:rPr>
          <w:rFonts w:ascii="Times New Roman" w:cs="Times New Roman" w:eastAsia="Times New Roman" w:hAnsi="Times New Roman"/>
          <w:sz w:val="18"/>
          <w:szCs w:val="18"/>
          <w:color w:val="auto"/>
        </w:rPr>
        <w:t>Schedule I</w:t>
      </w:r>
    </w:p>
    <w:p>
      <w:pPr>
        <w:spacing w:after="0" w:line="225" w:lineRule="exact"/>
        <w:rPr>
          <w:sz w:val="20"/>
          <w:szCs w:val="20"/>
          <w:color w:val="auto"/>
        </w:rPr>
      </w:pPr>
    </w:p>
    <w:p>
      <w:pPr>
        <w:jc w:val="right"/>
        <w:ind w:right="3879"/>
        <w:spacing w:after="0"/>
        <w:rPr>
          <w:sz w:val="20"/>
          <w:szCs w:val="20"/>
          <w:color w:val="auto"/>
        </w:rPr>
      </w:pPr>
      <w:r>
        <w:rPr>
          <w:rFonts w:ascii="Times New Roman" w:cs="Times New Roman" w:eastAsia="Times New Roman" w:hAnsi="Times New Roman"/>
          <w:sz w:val="18"/>
          <w:szCs w:val="18"/>
          <w:color w:val="auto"/>
        </w:rPr>
        <w:t>Initial Purchasers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BBVA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Santander US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Chartered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ICBC Standard Bank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Loop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Siebert Williams Shank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1)"/>
      <w:numFmt w:val="lowerRoman"/>
      <w:start w:val="2"/>
    </w:lvl>
  </w:abstractNum>
  <w:abstractNum w:abstractNumId="3">
    <w:nsid w:val="2CD89A32"/>
    <w:multiLevelType w:val="hybridMultilevel"/>
    <w:lvl w:ilvl="0">
      <w:lvlJc w:val="left"/>
      <w:lvlText w:val="(%1)"/>
      <w:numFmt w:val="lowerRoman"/>
      <w:start w:val="3"/>
    </w:lvl>
  </w:abstractNum>
  <w:abstractNum w:abstractNumId="4">
    <w:nsid w:val="57E4CCAF"/>
    <w:multiLevelType w:val="hybridMultilevel"/>
    <w:lvl w:ilvl="0">
      <w:lvlJc w:val="left"/>
      <w:lvlText w:val="1"/>
      <w:numFmt w:val="bullet"/>
      <w:start w:val="1"/>
    </w:lvl>
  </w:abstractNum>
  <w:abstractNum w:abstractNumId="5">
    <w:nsid w:val="7A6D8D3C"/>
    <w:multiLevelType w:val="hybridMultilevel"/>
    <w:lvl w:ilvl="0">
      <w:lvlJc w:val="left"/>
      <w:lvlText w:val="1"/>
      <w:numFmt w:val="bullet"/>
      <w:start w:val="1"/>
    </w:lvl>
  </w:abstractNum>
  <w:abstractNum w:abstractNumId="6">
    <w:nsid w:val="4B588F54"/>
    <w:multiLevelType w:val="hybridMultilevel"/>
    <w:lvl w:ilvl="0">
      <w:lvlJc w:val="left"/>
      <w:lvlText w:val="1"/>
      <w:numFmt w:val="bullet"/>
      <w:start w:val="1"/>
    </w:lvl>
  </w:abstractNum>
  <w:abstractNum w:abstractNumId="7">
    <w:nsid w:val="542289EC"/>
    <w:multiLevelType w:val="hybridMultilevel"/>
    <w:lvl w:ilvl="0">
      <w:lvlJc w:val="left"/>
      <w:lvlText w:val="1"/>
      <w:numFmt w:val="bullet"/>
      <w:start w:val="1"/>
    </w:lvl>
  </w:abstractNum>
  <w:abstractNum w:abstractNumId="8">
    <w:nsid w:val="6DE91B18"/>
    <w:multiLevelType w:val="hybridMultilevel"/>
    <w:lvl w:ilvl="0">
      <w:lvlJc w:val="left"/>
      <w:lvlText w:val="1"/>
      <w:numFmt w:val="bullet"/>
      <w:start w:val="1"/>
    </w:lvl>
  </w:abstractNum>
  <w:abstractNum w:abstractNumId="9">
    <w:nsid w:val="38437FDB"/>
    <w:multiLevelType w:val="hybridMultilevel"/>
    <w:lvl w:ilvl="0">
      <w:lvlJc w:val="left"/>
      <w:lvlText w:val="(%1)"/>
      <w:numFmt w:val="decimal"/>
      <w:start w:val="8"/>
    </w:lvl>
  </w:abstractNum>
  <w:abstractNum w:abstractNumId="10">
    <w:nsid w:val="7644A45C"/>
    <w:multiLevelType w:val="hybridMultilevel"/>
    <w:lvl w:ilvl="0">
      <w:lvlJc w:val="left"/>
      <w:lvlText w:val="(%1)"/>
      <w:numFmt w:val="decimal"/>
      <w:start w:val="9"/>
    </w:lvl>
  </w:abstractNum>
  <w:abstractNum w:abstractNumId="11">
    <w:nsid w:val="32FFF902"/>
    <w:multiLevelType w:val="hybridMultilevel"/>
    <w:lvl w:ilvl="0">
      <w:lvlJc w:val="left"/>
      <w:lvlText w:val="(%1)"/>
      <w:numFmt w:val="decimal"/>
      <w:start w:val="10"/>
    </w:lvl>
  </w:abstractNum>
  <w:abstractNum w:abstractNumId="12">
    <w:nsid w:val="684A481A"/>
    <w:multiLevelType w:val="hybridMultilevel"/>
    <w:lvl w:ilvl="0">
      <w:lvlJc w:val="left"/>
      <w:lvlText w:val="(%1)"/>
      <w:numFmt w:val="decimal"/>
      <w:start w:val="11"/>
    </w:lvl>
  </w:abstractNum>
  <w:abstractNum w:abstractNumId="13">
    <w:nsid w:val="579478FE"/>
    <w:multiLevelType w:val="hybridMultilevel"/>
    <w:lvl w:ilvl="0">
      <w:lvlJc w:val="left"/>
      <w:lvlText w:val="(%1)"/>
      <w:numFmt w:val="decimal"/>
      <w:start w:val="12"/>
    </w:lvl>
  </w:abstractNum>
  <w:abstractNum w:abstractNumId="14">
    <w:nsid w:val="749ABB43"/>
    <w:multiLevelType w:val="hybridMultilevel"/>
    <w:lvl w:ilvl="0">
      <w:lvlJc w:val="left"/>
      <w:lvlText w:val="(%1)"/>
      <w:numFmt w:val="decimal"/>
      <w:start w:val="13"/>
    </w:lvl>
  </w:abstractNum>
  <w:abstractNum w:abstractNumId="15">
    <w:nsid w:val="3DC240FB"/>
    <w:multiLevelType w:val="hybridMultilevel"/>
    <w:lvl w:ilvl="0">
      <w:lvlJc w:val="left"/>
      <w:lvlText w:val="(%1)"/>
      <w:numFmt w:val="decimal"/>
      <w:start w:val="14"/>
    </w:lvl>
  </w:abstractNum>
  <w:abstractNum w:abstractNumId="16">
    <w:nsid w:val="1BA026FA"/>
    <w:multiLevelType w:val="hybridMultilevel"/>
    <w:lvl w:ilvl="0">
      <w:lvlJc w:val="left"/>
      <w:lvlText w:val="(%1)"/>
      <w:numFmt w:val="decimal"/>
      <w:start w:val="17"/>
    </w:lvl>
  </w:abstractNum>
  <w:abstractNum w:abstractNumId="17">
    <w:nsid w:val="79A1DEAA"/>
    <w:multiLevelType w:val="hybridMultilevel"/>
    <w:lvl w:ilvl="0">
      <w:lvlJc w:val="left"/>
      <w:lvlText w:val="(%1)"/>
      <w:numFmt w:val="decimal"/>
      <w:start w:val="18"/>
    </w:lvl>
  </w:abstractNum>
  <w:abstractNum w:abstractNumId="18">
    <w:nsid w:val="75C6C33A"/>
    <w:multiLevelType w:val="hybridMultilevel"/>
    <w:lvl w:ilvl="0">
      <w:lvlJc w:val="left"/>
      <w:lvlText w:val="(%1)"/>
      <w:numFmt w:val="upperLetter"/>
      <w:start w:val="5"/>
    </w:lvl>
  </w:abstractNum>
  <w:abstractNum w:abstractNumId="19">
    <w:nsid w:val="12E685FB"/>
    <w:multiLevelType w:val="hybridMultilevel"/>
    <w:lvl w:ilvl="0">
      <w:lvlJc w:val="left"/>
      <w:lvlText w:val="1"/>
      <w:numFmt w:val="bullet"/>
      <w:start w:val="1"/>
    </w:lvl>
  </w:abstractNum>
  <w:abstractNum w:abstractNumId="20">
    <w:nsid w:val="70C6A529"/>
    <w:multiLevelType w:val="hybridMultilevel"/>
    <w:lvl w:ilvl="0">
      <w:lvlJc w:val="left"/>
      <w:lvlText w:val="(%1)"/>
      <w:numFmt w:val="upperLetter"/>
      <w:start w:val="5"/>
    </w:lvl>
  </w:abstractNum>
  <w:abstractNum w:abstractNumId="21">
    <w:nsid w:val="520EEDD1"/>
    <w:multiLevelType w:val="hybridMultilevel"/>
    <w:lvl w:ilvl="0">
      <w:lvlJc w:val="left"/>
      <w:lvlText w:val="1"/>
      <w:numFmt w:val="bullet"/>
      <w:start w:val="1"/>
    </w:lvl>
  </w:abstractNum>
  <w:abstractNum w:abstractNumId="22">
    <w:nsid w:val="374A3FE6"/>
    <w:multiLevelType w:val="hybridMultilevel"/>
    <w:lvl w:ilvl="0">
      <w:lvlJc w:val="left"/>
      <w:lvlText w:val="(%1)"/>
      <w:numFmt w:val="decimal"/>
      <w:start w:val="2"/>
    </w:lvl>
  </w:abstractNum>
  <w:abstractNum w:abstractNumId="23">
    <w:nsid w:val="4F4EF005"/>
    <w:multiLevelType w:val="hybridMultilevel"/>
    <w:lvl w:ilvl="0">
      <w:lvlJc w:val="left"/>
      <w:lvlText w:val="(%1)"/>
      <w:numFmt w:val="upperLetter"/>
      <w:start w:val="5"/>
    </w:lvl>
  </w:abstractNum>
  <w:abstractNum w:abstractNumId="24">
    <w:nsid w:val="23F9C13C"/>
    <w:multiLevelType w:val="hybridMultilevel"/>
    <w:lvl w:ilvl="0">
      <w:lvlJc w:val="left"/>
      <w:lvlText w:val="1"/>
      <w:numFmt w:val="bullet"/>
      <w:start w:val="1"/>
    </w:lvl>
  </w:abstractNum>
  <w:abstractNum w:abstractNumId="25">
    <w:nsid w:val="649BB77C"/>
    <w:multiLevelType w:val="hybridMultilevel"/>
    <w:lvl w:ilvl="0">
      <w:lvlJc w:val="left"/>
      <w:lvlText w:val="(%1)"/>
      <w:numFmt w:val="decimal"/>
      <w:start w:val="2"/>
    </w:lvl>
  </w:abstractNum>
  <w:abstractNum w:abstractNumId="26">
    <w:nsid w:val="275AC794"/>
    <w:multiLevelType w:val="hybridMultilevel"/>
    <w:lvl w:ilvl="0">
      <w:lvlJc w:val="left"/>
      <w:lvlText w:val="(%1)"/>
      <w:numFmt w:val="upperLetter"/>
      <w:start w:val="5"/>
    </w:lvl>
  </w:abstractNum>
  <w:abstractNum w:abstractNumId="27">
    <w:nsid w:val="39386575"/>
    <w:multiLevelType w:val="hybridMultilevel"/>
    <w:lvl w:ilvl="0">
      <w:lvlJc w:val="left"/>
      <w:lvlText w:val="1"/>
      <w:numFmt w:val="bullet"/>
      <w:start w:val="1"/>
    </w:lvl>
  </w:abstractNum>
  <w:abstractNum w:abstractNumId="28">
    <w:nsid w:val="1CF10FD8"/>
    <w:multiLevelType w:val="hybridMultilevel"/>
    <w:lvl w:ilvl="0">
      <w:lvlJc w:val="left"/>
      <w:lvlText w:val="(%1)"/>
      <w:numFmt w:val="decimal"/>
      <w:start w:val="2"/>
    </w:lvl>
  </w:abstractNum>
  <w:abstractNum w:abstractNumId="29">
    <w:nsid w:val="180115BE"/>
    <w:multiLevelType w:val="hybridMultilevel"/>
    <w:lvl w:ilvl="0">
      <w:lvlJc w:val="left"/>
      <w:lvlText w:val="(%1)"/>
      <w:numFmt w:val="upperLetter"/>
      <w:start w:val="5"/>
    </w:lvl>
  </w:abstractNum>
  <w:abstractNum w:abstractNumId="30">
    <w:nsid w:val="235BA861"/>
    <w:multiLevelType w:val="hybridMultilevel"/>
    <w:lvl w:ilvl="0">
      <w:lvlJc w:val="left"/>
      <w:lvlText w:val="(%1)"/>
      <w:numFmt w:val="decimal"/>
      <w:start w:val="2"/>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1."/>
      <w:numFmt w:val="decimal"/>
      <w:start w:val="1"/>
    </w:lvl>
  </w:abstractNum>
  <w:abstractNum w:abstractNumId="33">
    <w:nsid w:val="15B5AF5C"/>
    <w:multiLevelType w:val="hybridMultilevel"/>
    <w:lvl w:ilvl="0">
      <w:lvlJc w:val="left"/>
      <w:lvlText w:val="%1."/>
      <w:numFmt w:val="decimal"/>
      <w:start w:val="3"/>
    </w:lvl>
  </w:abstractNum>
  <w:abstractNum w:abstractNumId="34">
    <w:nsid w:val="741226BB"/>
    <w:multiLevelType w:val="hybridMultilevel"/>
    <w:lvl w:ilvl="0">
      <w:lvlJc w:val="left"/>
      <w:lvlText w:val="%1."/>
      <w:numFmt w:val="decimal"/>
      <w:start w:val="5"/>
    </w:lvl>
  </w:abstractNum>
  <w:abstractNum w:abstractNumId="35">
    <w:nsid w:val="D34B6A8"/>
    <w:multiLevelType w:val="hybridMultilevel"/>
    <w:lvl w:ilvl="0">
      <w:lvlJc w:val="left"/>
      <w:lvlText w:val="%1."/>
      <w:numFmt w:val="decimal"/>
      <w:start w:val="1"/>
    </w:lvl>
  </w:abstractNum>
  <w:abstractNum w:abstractNumId="36">
    <w:nsid w:val="10233C99"/>
    <w:multiLevelType w:val="hybridMultilevel"/>
    <w:lvl w:ilvl="0">
      <w:lvlJc w:val="left"/>
      <w:lvlText w:val="(%1)"/>
      <w:numFmt w:val="lowerLetter"/>
      <w:start w:val="1"/>
    </w:lvl>
  </w:abstractNum>
  <w:abstractNum w:abstractNumId="37">
    <w:nsid w:val="3F6AB60F"/>
    <w:multiLevelType w:val="hybridMultilevel"/>
    <w:lvl w:ilvl="0">
      <w:lvlJc w:val="left"/>
      <w:lvlText w:val="(%1)"/>
      <w:numFmt w:val="lowerRoman"/>
      <w:start w:val="1"/>
    </w:lvl>
  </w:abstractNum>
  <w:abstractNum w:abstractNumId="38">
    <w:nsid w:val="61574095"/>
    <w:multiLevelType w:val="hybridMultilevel"/>
    <w:lvl w:ilvl="0">
      <w:lvlJc w:val="left"/>
      <w:lvlText w:val="(%1)"/>
      <w:numFmt w:val="lowerRoman"/>
      <w:start w:val="2"/>
    </w:lvl>
  </w:abstractNum>
  <w:abstractNum w:abstractNumId="39">
    <w:nsid w:val="7E0C57B1"/>
    <w:multiLevelType w:val="hybridMultilevel"/>
    <w:lvl w:ilvl="0">
      <w:lvlJc w:val="left"/>
      <w:lvlText w:val="(%1)"/>
      <w:numFmt w:val="lowerLetter"/>
      <w:start w:val="2"/>
    </w:lvl>
  </w:abstractNum>
  <w:abstractNum w:abstractNumId="40">
    <w:nsid w:val="77AE35EB"/>
    <w:multiLevelType w:val="hybridMultilevel"/>
    <w:lvl w:ilvl="0">
      <w:lvlJc w:val="left"/>
      <w:lvlText w:val="%1."/>
      <w:numFmt w:val="decimal"/>
      <w:start w:val="2"/>
    </w:lvl>
  </w:abstractNum>
  <w:abstractNum w:abstractNumId="41">
    <w:nsid w:val="579BE4F1"/>
    <w:multiLevelType w:val="hybridMultilevel"/>
    <w:lvl w:ilvl="0">
      <w:lvlJc w:val="left"/>
      <w:lvlText w:val="(%1)"/>
      <w:numFmt w:val="lowerRoman"/>
      <w:start w:val="1"/>
    </w:lvl>
  </w:abstractNum>
  <w:abstractNum w:abstractNumId="42">
    <w:nsid w:val="310C50B3"/>
    <w:multiLevelType w:val="hybridMultilevel"/>
    <w:lvl w:ilvl="0">
      <w:lvlJc w:val="left"/>
      <w:lvlText w:val="(%1)"/>
      <w:numFmt w:val="lowerRoman"/>
      <w:start w:val="2"/>
    </w:lvl>
  </w:abstractNum>
  <w:abstractNum w:abstractNumId="43">
    <w:nsid w:val="5FF87E05"/>
    <w:multiLevelType w:val="hybridMultilevel"/>
    <w:lvl w:ilvl="0">
      <w:lvlJc w:val="left"/>
      <w:lvlText w:val="(%1)"/>
      <w:numFmt w:val="lowerRoman"/>
      <w:start w:val="3"/>
    </w:lvl>
  </w:abstractNum>
  <w:abstractNum w:abstractNumId="44">
    <w:nsid w:val="2F305DEF"/>
    <w:multiLevelType w:val="hybridMultilevel"/>
    <w:lvl w:ilvl="0">
      <w:lvlJc w:val="left"/>
      <w:lvlText w:val="(%1)"/>
      <w:numFmt w:val="lowerLetter"/>
      <w:start w:val="2"/>
    </w:lvl>
  </w:abstractNum>
  <w:abstractNum w:abstractNumId="45">
    <w:nsid w:val="25A70BF7"/>
    <w:multiLevelType w:val="hybridMultilevel"/>
    <w:lvl w:ilvl="0">
      <w:lvlJc w:val="left"/>
      <w:lvlText w:val="(%1)"/>
      <w:numFmt w:val="lowerLetter"/>
      <w:start w:val="3"/>
    </w:lvl>
  </w:abstractNum>
  <w:abstractNum w:abstractNumId="46">
    <w:nsid w:val="1DBABF00"/>
    <w:multiLevelType w:val="hybridMultilevel"/>
    <w:lvl w:ilvl="0">
      <w:lvlJc w:val="left"/>
      <w:lvlText w:val="%1."/>
      <w:numFmt w:val="decimal"/>
      <w:start w:val="1"/>
    </w:lvl>
    <w:lvl w:ilvl="1">
      <w:lvlJc w:val="left"/>
      <w:lvlText w:val="(%2)"/>
      <w:numFmt w:val="lowerLetter"/>
      <w:start w:val="1"/>
    </w:lvl>
  </w:abstractNum>
  <w:abstractNum w:abstractNumId="47">
    <w:nsid w:val="4AD084E9"/>
    <w:multiLevelType w:val="hybridMultilevel"/>
    <w:lvl w:ilvl="0">
      <w:lvlJc w:val="left"/>
      <w:lvlText w:val="(%1)"/>
      <w:numFmt w:val="lowerLetter"/>
      <w:start w:val="2"/>
    </w:lvl>
  </w:abstractNum>
  <w:abstractNum w:abstractNumId="48">
    <w:nsid w:val="1F48EAA1"/>
    <w:multiLevelType w:val="hybridMultilevel"/>
    <w:lvl w:ilvl="0">
      <w:lvlJc w:val="left"/>
      <w:lvlText w:val="%1."/>
      <w:numFmt w:val="decimal"/>
      <w:start w:val="2"/>
    </w:lvl>
    <w:lvl w:ilvl="1">
      <w:lvlJc w:val="left"/>
      <w:lvlText w:val="(%2)"/>
      <w:numFmt w:val="lowerLetter"/>
      <w:start w:val="1"/>
    </w:lvl>
  </w:abstractNum>
  <w:abstractNum w:abstractNumId="49">
    <w:nsid w:val="1381823A"/>
    <w:multiLevelType w:val="hybridMultilevel"/>
    <w:lvl w:ilvl="0">
      <w:lvlJc w:val="left"/>
      <w:lvlText w:val="(%1)"/>
      <w:numFmt w:val="lowerRoman"/>
      <w:start w:val="3"/>
    </w:lvl>
  </w:abstractNum>
  <w:abstractNum w:abstractNumId="50">
    <w:nsid w:val="5DB70AE5"/>
    <w:multiLevelType w:val="hybridMultilevel"/>
    <w:lvl w:ilvl="0">
      <w:lvlJc w:val="left"/>
      <w:lvlText w:val="(%1)"/>
      <w:numFmt w:val="lowerLetter"/>
      <w:start w:val="2"/>
    </w:lvl>
  </w:abstractNum>
  <w:abstractNum w:abstractNumId="51">
    <w:nsid w:val="100F8FCA"/>
    <w:multiLevelType w:val="hybridMultilevel"/>
    <w:lvl w:ilvl="0">
      <w:lvlJc w:val="left"/>
      <w:lvlText w:val="(%1)"/>
      <w:numFmt w:val="decimal"/>
      <w:start w:val="1"/>
    </w:lvl>
  </w:abstractNum>
  <w:abstractNum w:abstractNumId="52">
    <w:nsid w:val="6590700B"/>
    <w:multiLevelType w:val="hybridMultilevel"/>
    <w:lvl w:ilvl="0">
      <w:lvlJc w:val="left"/>
      <w:lvlText w:val="(%1)"/>
      <w:numFmt w:val="decimal"/>
      <w:start w:val="1"/>
    </w:lvl>
  </w:abstractNum>
  <w:abstractNum w:abstractNumId="53">
    <w:nsid w:val="15014ACB"/>
    <w:multiLevelType w:val="hybridMultilevel"/>
    <w:lvl w:ilvl="0">
      <w:lvlJc w:val="left"/>
      <w:lvlText w:val="%1"/>
      <w:numFmt w:val="decimal"/>
      <w:start w:val="1"/>
    </w:lvl>
    <w:lvl w:ilvl="1">
      <w:lvlJc w:val="left"/>
      <w:lvlText w:val="(%2)"/>
      <w:numFmt w:val="lowerLetter"/>
      <w:start w:val="3"/>
    </w:lvl>
  </w:abstractNum>
  <w:abstractNum w:abstractNumId="54">
    <w:nsid w:val="5F5E7FD0"/>
    <w:multiLevelType w:val="hybridMultilevel"/>
    <w:lvl w:ilvl="0">
      <w:lvlJc w:val="left"/>
      <w:lvlText w:val="%1."/>
      <w:numFmt w:val="decimal"/>
      <w:start w:val="3"/>
    </w:lvl>
    <w:lvl w:ilvl="1">
      <w:lvlJc w:val="left"/>
      <w:lvlText w:val="%2"/>
      <w:numFmt w:val="lowerLetter"/>
      <w:start w:val="1"/>
    </w:lvl>
  </w:abstractNum>
  <w:abstractNum w:abstractNumId="55">
    <w:nsid w:val="98A3148"/>
    <w:multiLevelType w:val="hybridMultilevel"/>
    <w:lvl w:ilvl="0">
      <w:lvlJc w:val="left"/>
      <w:lvlText w:val="%1"/>
      <w:numFmt w:val="lowerLetter"/>
      <w:start w:val="1"/>
    </w:lvl>
    <w:lvl w:ilvl="1">
      <w:lvlJc w:val="left"/>
      <w:lvlText w:val="(%2)"/>
      <w:numFmt w:val="lowerLetter"/>
      <w:start w:val="1"/>
    </w:lvl>
  </w:abstractNum>
  <w:abstractNum w:abstractNumId="56">
    <w:nsid w:val="799D0247"/>
    <w:multiLevelType w:val="hybridMultilevel"/>
    <w:lvl w:ilvl="0">
      <w:lvlJc w:val="left"/>
      <w:lvlText w:val="(%1)"/>
      <w:numFmt w:val="lowerLetter"/>
      <w:start w:val="35"/>
    </w:lvl>
    <w:lvl w:ilvl="1">
      <w:lvlJc w:val="left"/>
      <w:lvlText w:val="%2"/>
      <w:numFmt w:val="lowerLetter"/>
      <w:start w:val="1"/>
    </w:lvl>
  </w:abstractNum>
  <w:abstractNum w:abstractNumId="57">
    <w:nsid w:val="6B94764"/>
    <w:multiLevelType w:val="hybridMultilevel"/>
    <w:lvl w:ilvl="0">
      <w:lvlJc w:val="left"/>
      <w:lvlText w:val="(%1)"/>
      <w:numFmt w:val="lowerLetter"/>
      <w:start w:val="2"/>
    </w:lvl>
  </w:abstractNum>
  <w:abstractNum w:abstractNumId="58">
    <w:nsid w:val="42C296BD"/>
    <w:multiLevelType w:val="hybridMultilevel"/>
    <w:lvl w:ilvl="0">
      <w:lvlJc w:val="left"/>
      <w:lvlText w:val="%1."/>
      <w:numFmt w:val="decimal"/>
      <w:start w:val="4"/>
    </w:lvl>
    <w:lvl w:ilvl="1">
      <w:lvlJc w:val="left"/>
      <w:lvlText w:val="(%2)"/>
      <w:numFmt w:val="lowerLetter"/>
      <w:start w:val="1"/>
    </w:lvl>
  </w:abstractNum>
  <w:abstractNum w:abstractNumId="59">
    <w:nsid w:val="168E121F"/>
    <w:multiLevelType w:val="hybridMultilevel"/>
    <w:lvl w:ilvl="0">
      <w:lvlJc w:val="left"/>
      <w:lvlText w:val="%1"/>
      <w:numFmt w:val="decimal"/>
      <w:start w:val="90"/>
    </w:lvl>
    <w:lvl w:ilvl="1">
      <w:lvlJc w:val="left"/>
      <w:lvlText w:val="%2"/>
      <w:numFmt w:val="lowerLetter"/>
      <w:start w:val="1"/>
    </w:lvl>
  </w:abstractNum>
  <w:abstractNum w:abstractNumId="60">
    <w:nsid w:val="1EBA5D23"/>
    <w:multiLevelType w:val="hybridMultilevel"/>
    <w:lvl w:ilvl="0">
      <w:lvlJc w:val="left"/>
      <w:lvlText w:val="%1"/>
      <w:numFmt w:val="decimal"/>
      <w:start w:val="1"/>
    </w:lvl>
    <w:lvl w:ilvl="1">
      <w:lvlJc w:val="left"/>
      <w:lvlText w:val="(%2)"/>
      <w:numFmt w:val="lowerLetter"/>
      <w:start w:val="2"/>
    </w:lvl>
  </w:abstractNum>
  <w:abstractNum w:abstractNumId="61">
    <w:nsid w:val="661E3F1E"/>
    <w:multiLevelType w:val="hybridMultilevel"/>
    <w:lvl w:ilvl="0">
      <w:lvlJc w:val="left"/>
      <w:lvlText w:val="%1."/>
      <w:numFmt w:val="decimal"/>
      <w:start w:val="5"/>
    </w:lvl>
    <w:lvl w:ilvl="1">
      <w:lvlJc w:val="left"/>
      <w:lvlText w:val="%2"/>
      <w:numFmt w:val="lowerLetter"/>
      <w:start w:val="1"/>
    </w:lvl>
  </w:abstractNum>
  <w:abstractNum w:abstractNumId="62">
    <w:nsid w:val="5DC79EA8"/>
    <w:multiLevelType w:val="hybridMultilevel"/>
    <w:lvl w:ilvl="0">
      <w:lvlJc w:val="left"/>
      <w:lvlText w:val="(%1)"/>
      <w:numFmt w:val="lowerLetter"/>
      <w:start w:val="1"/>
    </w:lvl>
  </w:abstractNum>
  <w:abstractNum w:abstractNumId="63">
    <w:nsid w:val="540A471C"/>
    <w:multiLevelType w:val="hybridMultilevel"/>
    <w:lvl w:ilvl="0">
      <w:lvlJc w:val="left"/>
      <w:lvlText w:val="(%1)"/>
      <w:numFmt w:val="lowerLetter"/>
      <w:start w:val="2"/>
    </w:lvl>
  </w:abstractNum>
  <w:abstractNum w:abstractNumId="64">
    <w:nsid w:val="7BD3EE7B"/>
    <w:multiLevelType w:val="hybridMultilevel"/>
    <w:lvl w:ilvl="0">
      <w:lvlJc w:val="left"/>
      <w:lvlText w:val="(%1)"/>
      <w:numFmt w:val="lowerLetter"/>
      <w:start w:val="4"/>
    </w:lvl>
  </w:abstractNum>
  <w:abstractNum w:abstractNumId="65">
    <w:nsid w:val="51D9C564"/>
    <w:multiLevelType w:val="hybridMultilevel"/>
    <w:lvl w:ilvl="0">
      <w:lvlJc w:val="left"/>
      <w:lvlText w:val="(%1)"/>
      <w:numFmt w:val="lowerLetter"/>
      <w:start w:val="7"/>
    </w:lvl>
  </w:abstractNum>
  <w:abstractNum w:abstractNumId="66">
    <w:nsid w:val="613EFDC5"/>
    <w:multiLevelType w:val="hybridMultilevel"/>
    <w:lvl w:ilvl="0">
      <w:lvlJc w:val="left"/>
      <w:lvlText w:val="(%1)"/>
      <w:numFmt w:val="lowerLetter"/>
      <w:start w:val="11"/>
    </w:lvl>
  </w:abstractNum>
  <w:abstractNum w:abstractNumId="67">
    <w:nsid w:val="BF72B14"/>
    <w:multiLevelType w:val="hybridMultilevel"/>
    <w:lvl w:ilvl="0">
      <w:lvlJc w:val="left"/>
      <w:lvlText w:val="%1."/>
      <w:numFmt w:val="decimal"/>
      <w:start w:val="6"/>
    </w:lvl>
    <w:lvl w:ilvl="1">
      <w:lvlJc w:val="left"/>
      <w:lvlText w:val="(%2)"/>
      <w:numFmt w:val="lowerLetter"/>
      <w:start w:val="1"/>
    </w:lvl>
  </w:abstractNum>
  <w:abstractNum w:abstractNumId="68">
    <w:nsid w:val="11447B73"/>
    <w:multiLevelType w:val="hybridMultilevel"/>
    <w:lvl w:ilvl="0">
      <w:lvlJc w:val="left"/>
      <w:lvlText w:val="%1"/>
      <w:numFmt w:val="decimal"/>
      <w:start w:val="1"/>
    </w:lvl>
    <w:lvl w:ilvl="1">
      <w:lvlJc w:val="left"/>
      <w:lvlText w:val="(%2)"/>
      <w:numFmt w:val="lowerLetter"/>
      <w:start w:val="2"/>
    </w:lvl>
  </w:abstractNum>
  <w:abstractNum w:abstractNumId="69">
    <w:nsid w:val="42963E5A"/>
    <w:multiLevelType w:val="hybridMultilevel"/>
    <w:lvl w:ilvl="0">
      <w:lvlJc w:val="left"/>
      <w:lvlText w:val="%1."/>
      <w:numFmt w:val="decimal"/>
      <w:start w:val="7"/>
    </w:lvl>
    <w:lvl w:ilvl="1">
      <w:lvlJc w:val="left"/>
      <w:lvlText w:val="(%2)"/>
      <w:numFmt w:val="lowerLetter"/>
      <w:start w:val="1"/>
    </w:lvl>
  </w:abstractNum>
  <w:abstractNum w:abstractNumId="70">
    <w:nsid w:val="A0382C5"/>
    <w:multiLevelType w:val="hybridMultilevel"/>
    <w:lvl w:ilvl="0">
      <w:lvlJc w:val="left"/>
      <w:lvlText w:val="(%1)"/>
      <w:numFmt w:val="lowerRoman"/>
      <w:start w:val="1"/>
    </w:lvl>
  </w:abstractNum>
  <w:abstractNum w:abstractNumId="71">
    <w:nsid w:val="8F2B15E"/>
    <w:multiLevelType w:val="hybridMultilevel"/>
    <w:lvl w:ilvl="0">
      <w:lvlJc w:val="left"/>
      <w:lvlText w:val="(%1)"/>
      <w:numFmt w:val="lowerLetter"/>
      <w:start w:val="2"/>
    </w:lvl>
  </w:abstractNum>
  <w:abstractNum w:abstractNumId="72">
    <w:nsid w:val="1A32234B"/>
    <w:multiLevelType w:val="hybridMultilevel"/>
    <w:lvl w:ilvl="0">
      <w:lvlJc w:val="left"/>
      <w:lvlText w:val="%1"/>
      <w:numFmt w:val="lowerLetter"/>
      <w:start w:val="1"/>
    </w:lvl>
    <w:lvl w:ilvl="1">
      <w:lvlJc w:val="left"/>
      <w:lvlText w:val="(%2)"/>
      <w:numFmt w:val="lowerLetter"/>
      <w:start w:val="3"/>
    </w:lvl>
  </w:abstractNum>
  <w:abstractNum w:abstractNumId="73">
    <w:nsid w:val="3B0FD379"/>
    <w:multiLevelType w:val="hybridMultilevel"/>
    <w:lvl w:ilvl="0">
      <w:lvlJc w:val="left"/>
      <w:lvlText w:val="(%1)"/>
      <w:numFmt w:val="lowerLetter"/>
      <w:start w:val="35"/>
    </w:lvl>
    <w:lvl w:ilvl="1">
      <w:lvlJc w:val="left"/>
      <w:lvlText w:val="%2"/>
      <w:numFmt w:val="lowerLetter"/>
      <w:start w:val="1"/>
    </w:lvl>
  </w:abstractNum>
  <w:abstractNum w:abstractNumId="74">
    <w:nsid w:val="68EB2F63"/>
    <w:multiLevelType w:val="hybridMultilevel"/>
    <w:lvl w:ilvl="0">
      <w:lvlJc w:val="left"/>
      <w:lvlText w:val="(%1)"/>
      <w:numFmt w:val="lowerLetter"/>
      <w:start w:val="9"/>
    </w:lvl>
    <w:lvl w:ilvl="1">
      <w:lvlJc w:val="left"/>
      <w:lvlText w:val="%2"/>
      <w:numFmt w:val="lowerLetter"/>
      <w:start w:val="1"/>
    </w:lvl>
  </w:abstractNum>
  <w:abstractNum w:abstractNumId="75">
    <w:nsid w:val="4962813B"/>
    <w:multiLevelType w:val="hybridMultilevel"/>
    <w:lvl w:ilvl="0">
      <w:lvlJc w:val="left"/>
      <w:lvlText w:val="%1"/>
      <w:numFmt w:val="lowerLetter"/>
      <w:start w:val="1"/>
    </w:lvl>
    <w:lvl w:ilvl="1">
      <w:lvlJc w:val="left"/>
      <w:lvlText w:val="(%2)"/>
      <w:numFmt w:val="lowerLetter"/>
      <w:start w:val="4"/>
    </w:lvl>
  </w:abstractNum>
  <w:abstractNum w:abstractNumId="76">
    <w:nsid w:val="60B6DF70"/>
    <w:multiLevelType w:val="hybridMultilevel"/>
    <w:lvl w:ilvl="0">
      <w:lvlJc w:val="left"/>
      <w:lvlText w:val="(%1)"/>
      <w:numFmt w:val="lowerLetter"/>
      <w:start w:val="35"/>
    </w:lvl>
    <w:lvl w:ilvl="1">
      <w:lvlJc w:val="left"/>
      <w:lvlText w:val="(%2)"/>
      <w:numFmt w:val="lowerLetter"/>
      <w:start w:val="5"/>
    </w:lvl>
  </w:abstractNum>
  <w:abstractNum w:abstractNumId="77">
    <w:nsid w:val="6A5EE64"/>
    <w:multiLevelType w:val="hybridMultilevel"/>
    <w:lvl w:ilvl="0">
      <w:lvlJc w:val="left"/>
      <w:lvlText w:val="%1."/>
      <w:numFmt w:val="decimal"/>
      <w:start w:val="8"/>
    </w:lvl>
  </w:abstractNum>
  <w:abstractNum w:abstractNumId="78">
    <w:nsid w:val="14330624"/>
    <w:multiLevelType w:val="hybridMultilevel"/>
    <w:lvl w:ilvl="0">
      <w:lvlJc w:val="left"/>
      <w:lvlText w:val="%1."/>
      <w:numFmt w:val="decimal"/>
      <w:start w:val="9"/>
    </w:lvl>
  </w:abstractNum>
  <w:abstractNum w:abstractNumId="79">
    <w:nsid w:val="7FFFCA11"/>
    <w:multiLevelType w:val="hybridMultilevel"/>
    <w:lvl w:ilvl="0">
      <w:lvlJc w:val="left"/>
      <w:lvlText w:val="%1."/>
      <w:numFmt w:val="decimal"/>
      <w:start w:val="10"/>
    </w:lvl>
    <w:lvl w:ilvl="1">
      <w:lvlJc w:val="left"/>
      <w:lvlText w:val="(%2)"/>
      <w:numFmt w:val="lowerLetter"/>
      <w:start w:val="1"/>
    </w:lvl>
  </w:abstractNum>
  <w:abstractNum w:abstractNumId="80">
    <w:nsid w:val="1A27709E"/>
    <w:multiLevelType w:val="hybridMultilevel"/>
    <w:lvl w:ilvl="0">
      <w:lvlJc w:val="left"/>
      <w:lvlText w:val="(%1)"/>
      <w:numFmt w:val="lowerLetter"/>
      <w:start w:val="2"/>
    </w:lvl>
  </w:abstractNum>
  <w:abstractNum w:abstractNumId="81">
    <w:nsid w:val="71EA1109"/>
    <w:multiLevelType w:val="hybridMultilevel"/>
    <w:lvl w:ilvl="0">
      <w:lvlJc w:val="left"/>
      <w:lvlText w:val="(%1)"/>
      <w:numFmt w:val="lowerRoman"/>
      <w:start w:val="1"/>
    </w:lvl>
  </w:abstractNum>
  <w:abstractNum w:abstractNumId="82">
    <w:nsid w:val="100F59DC"/>
    <w:multiLevelType w:val="hybridMultilevel"/>
    <w:lvl w:ilvl="0">
      <w:lvlJc w:val="left"/>
      <w:lvlText w:val="(%1)"/>
      <w:numFmt w:val="lowerRoman"/>
      <w:start w:val="2"/>
    </w:lvl>
  </w:abstractNum>
  <w:abstractNum w:abstractNumId="83">
    <w:nsid w:val="7FB7E0AA"/>
    <w:multiLevelType w:val="hybridMultilevel"/>
    <w:lvl w:ilvl="0">
      <w:lvlJc w:val="left"/>
      <w:lvlText w:val="(%1)"/>
      <w:numFmt w:val="lowerLetter"/>
      <w:start w:val="5"/>
    </w:lvl>
  </w:abstractNum>
  <w:abstractNum w:abstractNumId="84">
    <w:nsid w:val="6EB5BD4"/>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18" Type="http://schemas.openxmlformats.org/officeDocument/2006/relationships/hyperlink" Target="https://www.sec.gov/Archives/edgar/data/55785/0000950134-98-000673-index.ht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2026-10-29T17:04:57Z</dcterms:created>
  <dcterms:modified xsi:type="dcterms:W3CDTF">2026-10-29T17:04:57Z</dcterms:modified>
</cp:coreProperties>
</file>