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315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155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Urdaneta Nelson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75261-9100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7"/>
          </w:tcPr>
          <w:p>
            <w:pPr>
              <w:ind w:left="10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70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19,053</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160"/>
              <w:spacing w:after="0" w:line="306"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0.0000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46,654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3,387</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0.0000</w:t>
            </w:r>
            <w:r>
              <w:rPr>
                <w:rFonts w:ascii="Times New Roman" w:cs="Times New Roman" w:eastAsia="Times New Roman" w:hAnsi="Times New Roman"/>
                <w:sz w:val="21"/>
                <w:szCs w:val="21"/>
                <w:color w:val="008000"/>
                <w:w w:val="90"/>
                <w:vertAlign w:val="superscript"/>
              </w:rPr>
              <w:t>(3)</w:t>
            </w: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50,041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1,333</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97.85</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48,708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7,498</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97.85</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41,210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of</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0000FF"/>
                <w:w w:val="87"/>
              </w:rPr>
              <w:t>3,387</w:t>
            </w:r>
            <w:r>
              <w:rPr>
                <w:rFonts w:ascii="Times New Roman" w:cs="Times New Roman" w:eastAsia="Times New Roman" w:hAnsi="Times New Roman"/>
                <w:sz w:val="21"/>
                <w:szCs w:val="21"/>
                <w:color w:val="008000"/>
                <w:w w:val="87"/>
                <w:vertAlign w:val="superscript"/>
              </w:rPr>
              <w:t>(2)</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20" w:type="dxa"/>
            <w:vAlign w:val="bottom"/>
            <w:gridSpan w:val="3"/>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4/26/2023</w:t>
            </w:r>
          </w:p>
        </w:tc>
        <w:tc>
          <w:tcPr>
            <w:tcW w:w="780" w:type="dxa"/>
            <w:vAlign w:val="bottom"/>
            <w:vMerge w:val="continue"/>
          </w:tcPr>
          <w:p>
            <w:pPr>
              <w:spacing w:after="0"/>
              <w:rPr>
                <w:sz w:val="5"/>
                <w:szCs w:val="5"/>
                <w:color w:val="auto"/>
              </w:rPr>
            </w:pPr>
          </w:p>
        </w:tc>
        <w:tc>
          <w:tcPr>
            <w:tcW w:w="880" w:type="dxa"/>
            <w:vAlign w:val="bottom"/>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04/26/2026</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w w:val="94"/>
              </w:rPr>
              <w:t>0.0000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7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share units that have vested and are paid out in shares of common stock and includes restricted share units which were accrued based on dividends paid on the Corporation's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41" w:lineRule="exact"/>
        <w:rPr>
          <w:rFonts w:ascii="Times New Roman" w:cs="Times New Roman" w:eastAsia="Times New Roman" w:hAnsi="Times New Roman"/>
          <w:sz w:val="13"/>
          <w:szCs w:val="13"/>
          <w:color w:val="008000"/>
        </w:rPr>
      </w:pPr>
    </w:p>
    <w:p>
      <w:pPr>
        <w:ind w:left="40" w:right="8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performance-based restricted share units to satisfy the reporting person's tax withholding obligations.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Jeffrey S. McFall as attorney-</w:t>
            </w:r>
          </w:p>
        </w:tc>
        <w:tc>
          <w:tcPr>
            <w:tcW w:w="2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04/27/2026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in-fact for Nelson Urdaneta</w:t>
            </w:r>
          </w:p>
        </w:tc>
        <w:tc>
          <w:tcPr>
            <w:tcW w:w="3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9749"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2026-04-28T15:14:46Z</dcterms:created>
  <dcterms:modified xsi:type="dcterms:W3CDTF">2026-04-28T15:14:46Z</dcterms:modified>
</cp:coreProperties>
</file>