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Urdaneta Nelson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619100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75261-9100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KIMBERLY CLARK CORP</w:t>
              </w:r>
            </w:hyperlink>
            <w:r>
              <w:rPr/>
              <w:t xml:space="preserve"> [ </w:t>
            </w:r>
            <w:r>
              <w:rPr>
                <w:rFonts w:ascii="Times;serif" w:hAnsi="Times;serif"/>
                <w:color w:val="0000FF"/>
                <w:sz w:val="24"/>
                <w:shd w:fill="FFFFFF" w:val="clear"/>
              </w:rPr>
              <w:t>KMB</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881"/>
        <w:gridCol w:w="448"/>
        <w:gridCol w:w="882"/>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3,384</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(2)</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44,594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3,337</w:t>
            </w:r>
            <w:r>
              <w:rPr>
                <w:rFonts w:ascii="Times;serif" w:hAnsi="Times;serif"/>
                <w:color w:val="008000"/>
                <w:position w:val="7"/>
                <w:sz w:val="16"/>
                <w:sz w:val="20"/>
                <w:shd w:fill="FFFFFF" w:val="clear"/>
              </w:rPr>
              <w:t>(1)</w:t>
            </w:r>
            <w:r>
              <w:rPr/>
              <w:t xml:space="preserve"> </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(2)</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47,931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1,314</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97.67</w:t>
            </w:r>
            <w:r>
              <w:rPr/>
              <w:t xml:space="preserve"> </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46,617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r>
              <w:rPr/>
              <w:t xml:space="preserve"> </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1,332</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97.67</w:t>
            </w:r>
            <w:r>
              <w:rPr/>
              <w:t xml:space="preserve"> </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45,285</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995"/>
        <w:gridCol w:w="861"/>
        <w:gridCol w:w="891"/>
        <w:gridCol w:w="771"/>
        <w:gridCol w:w="591"/>
        <w:gridCol w:w="300"/>
        <w:gridCol w:w="711"/>
        <w:gridCol w:w="666"/>
        <w:gridCol w:w="906"/>
        <w:gridCol w:w="801"/>
        <w:gridCol w:w="891"/>
        <w:gridCol w:w="80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7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5/01/2024 (w/Dividends reinvested)</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3,337</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5/01/2025 (w/dividends reinvested)</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3,384</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5/1/2026 (w/dividends reinvested)</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14,334</w:t>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14,334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14,334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share units that have vested and are paid out in shares of common stock. Includes restricted share units which were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share units payable on a 1-for-1 basis, granted under the Kimberly-Clark Corporation Equity Participation Plan. Additional restricted share units are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represents the automatic surrender of shares to the issuer upon vesting of restricted shares units to satisfy the reporting person's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share units vest 30 percent on each of the first and second anniversaries of the grant date and the remaining 40 percent on the third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Jeffrey S. McFall as attorney-in-fact for Nelson Urdaneta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9749" TargetMode="External"/><Relationship Id="rId5" Type="http://schemas.openxmlformats.org/officeDocument/2006/relationships/hyperlink" Target="http://www.sec.gov/cgi-bin/browse-edgar?action=getcompany&amp;CIK=0000055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767</Words>
  <Characters>4222</Characters>
  <CharactersWithSpaces>4884</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