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Fenske Tamera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Supply Chain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62"/>
        <w:gridCol w:w="484"/>
        <w:gridCol w:w="881"/>
        <w:gridCol w:w="1138"/>
        <w:gridCol w:w="980"/>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10,585</w:t>
            </w:r>
            <w:r>
              <w:rPr>
                <w:rFonts w:ascii="Times;serif" w:hAnsi="Times;serif"/>
                <w:color w:val="008000"/>
                <w:position w:val="7"/>
                <w:sz w:val="16"/>
                <w:sz w:val="20"/>
                <w:shd w:fill="FFFFFF" w:val="clear"/>
              </w:rPr>
              <w:t>(1)</w:t>
            </w:r>
            <w:r>
              <w:rPr/>
              <w:t xml:space="preserve"> </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30,427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1,882</w:t>
            </w:r>
            <w:r>
              <w:rPr>
                <w:rFonts w:ascii="Times;serif" w:hAnsi="Times;serif"/>
                <w:color w:val="008000"/>
                <w:position w:val="7"/>
                <w:sz w:val="16"/>
                <w:sz w:val="20"/>
                <w:shd w:fill="FFFFFF" w:val="clear"/>
              </w:rPr>
              <w:t>(2)</w:t>
            </w:r>
            <w:r>
              <w:rPr/>
              <w:t xml:space="preserve"> </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(3)</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32,309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97.85</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r>
              <w:rPr/>
              <w:t xml:space="preserve"> </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4,715</w:t>
            </w:r>
          </w:p>
        </w:tc>
        <w:tc>
          <w:tcPr>
            <w:tcW w:w="4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97.85</w:t>
            </w:r>
            <w:r>
              <w:rPr/>
              <w:t xml:space="preserve"> </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26,755</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4/26/2023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1,882</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share units that have vested and are paid out in shares of common stock and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that have vested and are paid out in shares of common stock.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represents the automatic surrender of shares to the issuer upon vesting of restricted shares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represents the automatic surrender of shares to the issuer upon vesting of performance-based restricted share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share units vest 30 percent on each of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Tamera Fenske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6526"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4363</Characters>
  <CharactersWithSpaces>5068</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