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396875</wp:posOffset>
            </wp:positionH>
            <wp:positionV relativeFrom="page">
              <wp:posOffset>577215</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543560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57785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97790</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1"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2"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 ________ to 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57785</wp:posOffset>
            </wp:positionV>
            <wp:extent cx="2374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271780</wp:posOffset>
            </wp:positionV>
            <wp:extent cx="270065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65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KIMBERLY-CLARK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74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2340" w:type="dxa"/>
        <w:tblCellMar>
          <w:top w:w="0" w:type="dxa"/>
          <w:left w:w="0" w:type="dxa"/>
          <w:bottom w:w="0" w:type="dxa"/>
          <w:right w:w="0" w:type="dxa"/>
        </w:tblCellMar>
      </w:tblPr>
      <w:tr>
        <w:trPr>
          <w:trHeight w:val="221"/>
        </w:trPr>
        <w:tc>
          <w:tcPr>
            <w:tcW w:w="3460" w:type="dxa"/>
            <w:vAlign w:val="bottom"/>
          </w:tcPr>
          <w:p>
            <w:pPr>
              <w:jc w:val="center"/>
              <w:ind w:right="1425"/>
              <w:spacing w:after="0"/>
              <w:rPr>
                <w:sz w:val="20"/>
                <w:szCs w:val="20"/>
                <w:color w:val="auto"/>
              </w:rPr>
            </w:pPr>
            <w:r>
              <w:rPr>
                <w:rFonts w:ascii="Arial" w:cs="Arial" w:eastAsia="Arial" w:hAnsi="Arial"/>
                <w:sz w:val="16"/>
                <w:szCs w:val="16"/>
                <w:b w:val="1"/>
                <w:bCs w:val="1"/>
                <w:color w:val="auto"/>
              </w:rPr>
              <w:t>Delaware</w:t>
            </w:r>
          </w:p>
        </w:tc>
        <w:tc>
          <w:tcPr>
            <w:tcW w:w="2720" w:type="dxa"/>
            <w:vAlign w:val="bottom"/>
          </w:tcPr>
          <w:p>
            <w:pPr>
              <w:jc w:val="center"/>
              <w:ind w:left="1425"/>
              <w:spacing w:after="0"/>
              <w:rPr>
                <w:sz w:val="20"/>
                <w:szCs w:val="20"/>
                <w:color w:val="auto"/>
              </w:rPr>
            </w:pPr>
            <w:r>
              <w:rPr>
                <w:rFonts w:ascii="Arial" w:cs="Arial" w:eastAsia="Arial" w:hAnsi="Arial"/>
                <w:sz w:val="16"/>
                <w:szCs w:val="16"/>
                <w:b w:val="1"/>
                <w:bCs w:val="1"/>
                <w:color w:val="auto"/>
              </w:rPr>
              <w:t>39-0394230</w:t>
            </w:r>
          </w:p>
        </w:tc>
      </w:tr>
      <w:tr>
        <w:trPr>
          <w:trHeight w:val="149"/>
        </w:trPr>
        <w:tc>
          <w:tcPr>
            <w:tcW w:w="3460" w:type="dxa"/>
            <w:vAlign w:val="bottom"/>
          </w:tcPr>
          <w:p>
            <w:pPr>
              <w:jc w:val="center"/>
              <w:ind w:right="1425"/>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jc w:val="center"/>
              <w:ind w:left="1425"/>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460" w:type="dxa"/>
            <w:vAlign w:val="bottom"/>
          </w:tcPr>
          <w:p>
            <w:pPr>
              <w:jc w:val="center"/>
              <w:ind w:right="1425"/>
              <w:spacing w:after="0"/>
              <w:rPr>
                <w:sz w:val="20"/>
                <w:szCs w:val="20"/>
                <w:color w:val="auto"/>
              </w:rPr>
            </w:pPr>
            <w:r>
              <w:rPr>
                <w:rFonts w:ascii="Arial" w:cs="Arial" w:eastAsia="Arial" w:hAnsi="Arial"/>
                <w:sz w:val="14"/>
                <w:szCs w:val="14"/>
                <w:b w:val="1"/>
                <w:bCs w:val="1"/>
                <w:color w:val="auto"/>
              </w:rPr>
              <w:t>incorporation)</w:t>
            </w:r>
          </w:p>
        </w:tc>
        <w:tc>
          <w:tcPr>
            <w:tcW w:w="2720" w:type="dxa"/>
            <w:vAlign w:val="bottom"/>
          </w:tcPr>
          <w:p>
            <w:pPr>
              <w:jc w:val="center"/>
              <w:ind w:left="1425"/>
              <w:spacing w:after="0"/>
              <w:rPr>
                <w:sz w:val="20"/>
                <w:szCs w:val="20"/>
                <w:color w:val="auto"/>
              </w:rPr>
            </w:pPr>
            <w:r>
              <w:rPr>
                <w:rFonts w:ascii="Arial" w:cs="Arial" w:eastAsia="Arial" w:hAnsi="Arial"/>
                <w:sz w:val="14"/>
                <w:szCs w:val="14"/>
                <w:b w:val="1"/>
                <w:bCs w:val="1"/>
                <w:color w:val="auto"/>
              </w:rPr>
              <w:t>Identification No.)</w:t>
            </w: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619100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TX</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75261-9100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281-1200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57785</wp:posOffset>
            </wp:positionV>
            <wp:extent cx="2374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73"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7900" w:type="dxa"/>
            <w:vAlign w:val="bottom"/>
            <w:gridSpan w:val="5"/>
          </w:tcPr>
          <w:p>
            <w:pPr>
              <w:ind w:left="2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39"/>
        </w:trPr>
        <w:tc>
          <w:tcPr>
            <w:tcW w:w="3280" w:type="dxa"/>
            <w:vAlign w:val="bottom"/>
          </w:tcPr>
          <w:p>
            <w:pPr>
              <w:jc w:val="center"/>
              <w:ind w:left="419"/>
              <w:spacing w:after="0"/>
              <w:rPr>
                <w:sz w:val="20"/>
                <w:szCs w:val="20"/>
                <w:color w:val="auto"/>
              </w:rPr>
            </w:pPr>
            <w:r>
              <w:rPr>
                <w:rFonts w:ascii="Arial" w:cs="Arial" w:eastAsia="Arial" w:hAnsi="Arial"/>
                <w:sz w:val="16"/>
                <w:szCs w:val="16"/>
                <w:color w:val="auto"/>
              </w:rPr>
              <w:t>Title of each class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6"/>
                <w:szCs w:val="16"/>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328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rPr>
              <w:t>Common Stock-$1.25 par value</w:t>
            </w: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KMB</w:t>
            </w:r>
          </w:p>
        </w:tc>
        <w:tc>
          <w:tcPr>
            <w:tcW w:w="260" w:type="dxa"/>
            <w:vAlign w:val="bottom"/>
          </w:tcPr>
          <w:p>
            <w:pPr>
              <w:spacing w:after="0"/>
              <w:rPr>
                <w:sz w:val="18"/>
                <w:szCs w:val="18"/>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63" w:lineRule="exact"/>
        <w:rPr>
          <w:sz w:val="24"/>
          <w:szCs w:val="24"/>
          <w:color w:val="auto"/>
        </w:rPr>
      </w:pPr>
    </w:p>
    <w:p>
      <w:pPr>
        <w:jc w:val="both"/>
        <w:ind w:firstLine="445"/>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o</w:t>
      </w:r>
    </w:p>
    <w:p>
      <w:pPr>
        <w:spacing w:after="0" w:line="70" w:lineRule="exact"/>
        <w:rPr>
          <w:sz w:val="24"/>
          <w:szCs w:val="24"/>
          <w:color w:val="auto"/>
        </w:rPr>
      </w:pPr>
    </w:p>
    <w:p>
      <w:pPr>
        <w:jc w:val="both"/>
        <w:ind w:firstLine="445"/>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o</w:t>
      </w:r>
    </w:p>
    <w:p>
      <w:pPr>
        <w:spacing w:after="0" w:line="70" w:lineRule="exact"/>
        <w:rPr>
          <w:sz w:val="24"/>
          <w:szCs w:val="24"/>
          <w:color w:val="auto"/>
        </w:rPr>
      </w:pPr>
    </w:p>
    <w:p>
      <w:pPr>
        <w:jc w:val="both"/>
        <w:ind w:firstLine="445"/>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8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460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40" w:type="dxa"/>
            <w:vAlign w:val="bottom"/>
          </w:tcPr>
          <w:p>
            <w:pPr>
              <w:spacing w:after="0"/>
              <w:rPr>
                <w:sz w:val="20"/>
                <w:szCs w:val="20"/>
                <w:color w:val="auto"/>
              </w:rPr>
            </w:pPr>
            <w:r>
              <w:rPr>
                <w:rFonts w:ascii="Arial" w:cs="Arial" w:eastAsia="Arial" w:hAnsi="Arial"/>
                <w:sz w:val="16"/>
                <w:szCs w:val="16"/>
                <w:color w:val="auto"/>
              </w:rPr>
              <w:t>Accelerated filer</w:t>
            </w:r>
          </w:p>
        </w:tc>
        <w:tc>
          <w:tcPr>
            <w:tcW w:w="27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6" w:lineRule="exact"/>
        <w:rPr>
          <w:sz w:val="24"/>
          <w:szCs w:val="24"/>
          <w:color w:val="auto"/>
        </w:rPr>
      </w:pPr>
    </w:p>
    <w:p>
      <w:pPr>
        <w:ind w:firstLine="40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left="4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x</w:t>
      </w:r>
      <w:r>
        <w:rPr>
          <w:rFonts w:ascii="Arial" w:cs="Arial" w:eastAsia="Arial" w:hAnsi="Arial"/>
          <w:sz w:val="16"/>
          <w:szCs w:val="16"/>
          <w:color w:val="auto"/>
        </w:rPr>
        <w:t xml:space="preserve"> As of April 21, 2026, there were 331,940,357 shares of the Corporation's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0080" w:type="dxa"/>
            <w:vAlign w:val="bottom"/>
            <w:gridSpan w:val="19"/>
          </w:tcPr>
          <w:p>
            <w:pPr>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89"/>
        </w:trPr>
        <w:tc>
          <w:tcPr>
            <w:tcW w:w="20" w:type="dxa"/>
            <w:vAlign w:val="bottom"/>
            <w:shd w:val="clear" w:color="auto" w:fill="CCEEFF"/>
          </w:tcPr>
          <w:p>
            <w:pPr>
              <w:spacing w:after="0"/>
              <w:rPr>
                <w:sz w:val="16"/>
                <w:szCs w:val="16"/>
                <w:color w:val="auto"/>
              </w:rPr>
            </w:pPr>
          </w:p>
        </w:tc>
        <w:tc>
          <w:tcPr>
            <w:tcW w:w="100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rPr>
              <w:t>PART I – FINANCIAL INFORMATION</w:t>
            </w:r>
          </w:p>
        </w:tc>
        <w:tc>
          <w:tcPr>
            <w:tcW w:w="11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1</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9"/>
          </w:tcPr>
          <w:p>
            <w:pPr>
              <w:spacing w:after="0" w:line="189" w:lineRule="exact"/>
              <w:rPr>
                <w:sz w:val="20"/>
                <w:szCs w:val="20"/>
                <w:color w:val="auto"/>
              </w:rPr>
            </w:pPr>
            <w:r>
              <w:rPr>
                <w:rFonts w:ascii="Arial" w:cs="Arial" w:eastAsia="Arial" w:hAnsi="Arial"/>
                <w:sz w:val="18"/>
                <w:szCs w:val="18"/>
                <w:color w:val="0000FF"/>
              </w:rPr>
              <w:t>Item 1. Financial Statements</w:t>
            </w:r>
          </w:p>
        </w:tc>
        <w:tc>
          <w:tcPr>
            <w:tcW w:w="7060" w:type="dxa"/>
            <w:vAlign w:val="bottom"/>
            <w:gridSpan w:val="8"/>
          </w:tcPr>
          <w:p>
            <w:pPr>
              <w:spacing w:after="0"/>
              <w:rPr>
                <w:sz w:val="16"/>
                <w:szCs w:val="16"/>
                <w:color w:val="auto"/>
              </w:rPr>
            </w:pPr>
          </w:p>
        </w:tc>
        <w:tc>
          <w:tcPr>
            <w:tcW w:w="1000" w:type="dxa"/>
            <w:vAlign w:val="bottom"/>
            <w:gridSpan w:val="2"/>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0000FF"/>
                <w:w w:val="79"/>
              </w:rPr>
              <w:t>1</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2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Income for the Three Months Ended March 31, 2026 and 2025</w:t>
            </w:r>
          </w:p>
        </w:tc>
        <w:tc>
          <w:tcPr>
            <w:tcW w:w="1300" w:type="dxa"/>
            <w:vAlign w:val="bottom"/>
            <w:gridSpan w:val="3"/>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20" w:type="dxa"/>
            <w:vAlign w:val="bottom"/>
            <w:gridSpan w:val="16"/>
          </w:tcPr>
          <w:p>
            <w:pPr>
              <w:spacing w:after="0" w:line="189" w:lineRule="exact"/>
              <w:rPr>
                <w:sz w:val="20"/>
                <w:szCs w:val="20"/>
                <w:color w:val="auto"/>
              </w:rPr>
            </w:pPr>
            <w:r>
              <w:rPr>
                <w:rFonts w:ascii="Arial" w:cs="Arial" w:eastAsia="Arial" w:hAnsi="Arial"/>
                <w:sz w:val="18"/>
                <w:szCs w:val="18"/>
                <w:color w:val="0000FF"/>
                <w:w w:val="99"/>
              </w:rPr>
              <w:t>Condensed Consolidated Statements of Comprehensive Income for the Three Months Ended March 31, 2026 and 2025</w:t>
            </w:r>
          </w:p>
        </w:tc>
        <w:tc>
          <w:tcPr>
            <w:tcW w:w="11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60" w:type="dxa"/>
            <w:vAlign w:val="bottom"/>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Balance Sheets as of March 31, 2026 and December 31, 2025</w:t>
            </w:r>
          </w:p>
        </w:tc>
        <w:tc>
          <w:tcPr>
            <w:tcW w:w="2460" w:type="dxa"/>
            <w:vAlign w:val="bottom"/>
            <w:gridSpan w:val="5"/>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20" w:type="dxa"/>
            <w:vAlign w:val="bottom"/>
            <w:gridSpan w:val="16"/>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 for the Three Months Ended March 31, 2026 and 2025</w:t>
            </w:r>
          </w:p>
        </w:tc>
        <w:tc>
          <w:tcPr>
            <w:tcW w:w="11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52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Cash Flows for the Three Months Ended March 31, 2026 and 2025</w:t>
            </w:r>
          </w:p>
        </w:tc>
        <w:tc>
          <w:tcPr>
            <w:tcW w:w="11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5</w:t>
            </w: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60" w:type="dxa"/>
            <w:vAlign w:val="bottom"/>
            <w:gridSpan w:val="14"/>
          </w:tcPr>
          <w:p>
            <w:pPr>
              <w:spacing w:after="0" w:line="189" w:lineRule="exact"/>
              <w:rPr>
                <w:sz w:val="20"/>
                <w:szCs w:val="20"/>
                <w:color w:val="auto"/>
              </w:rPr>
            </w:pPr>
            <w:r>
              <w:rPr>
                <w:rFonts w:ascii="Arial" w:cs="Arial" w:eastAsia="Arial" w:hAnsi="Arial"/>
                <w:sz w:val="18"/>
                <w:szCs w:val="18"/>
                <w:color w:val="0000FF"/>
              </w:rPr>
              <w:t>Notes to the Unaudited Interim Condensed Consolidated Financial Statements</w:t>
            </w:r>
          </w:p>
        </w:tc>
        <w:tc>
          <w:tcPr>
            <w:tcW w:w="960" w:type="dxa"/>
            <w:vAlign w:val="bottom"/>
            <w:gridSpan w:val="2"/>
          </w:tcPr>
          <w:p>
            <w:pPr>
              <w:spacing w:after="0"/>
              <w:rPr>
                <w:sz w:val="16"/>
                <w:szCs w:val="16"/>
                <w:color w:val="auto"/>
              </w:rPr>
            </w:pPr>
          </w:p>
        </w:tc>
        <w:tc>
          <w:tcPr>
            <w:tcW w:w="1000" w:type="dxa"/>
            <w:vAlign w:val="bottom"/>
            <w:gridSpan w:val="2"/>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160" w:type="dxa"/>
            <w:vAlign w:val="bottom"/>
            <w:gridSpan w:val="4"/>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18</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spacing w:after="0" w:line="189" w:lineRule="exact"/>
              <w:rPr>
                <w:sz w:val="20"/>
                <w:szCs w:val="20"/>
                <w:color w:val="auto"/>
              </w:rPr>
            </w:pPr>
            <w:r>
              <w:rPr>
                <w:rFonts w:ascii="Arial" w:cs="Arial" w:eastAsia="Arial" w:hAnsi="Arial"/>
                <w:sz w:val="18"/>
                <w:szCs w:val="18"/>
                <w:color w:val="0000FF"/>
              </w:rPr>
              <w:t>Item 4.</w:t>
            </w:r>
          </w:p>
        </w:tc>
        <w:tc>
          <w:tcPr>
            <w:tcW w:w="7100" w:type="dxa"/>
            <w:vAlign w:val="bottom"/>
            <w:gridSpan w:val="11"/>
          </w:tcPr>
          <w:p>
            <w:pPr>
              <w:ind w:left="20"/>
              <w:spacing w:after="0" w:line="189" w:lineRule="exact"/>
              <w:rPr>
                <w:sz w:val="20"/>
                <w:szCs w:val="20"/>
                <w:color w:val="auto"/>
              </w:rPr>
            </w:pPr>
            <w:r>
              <w:rPr>
                <w:rFonts w:ascii="Arial" w:cs="Arial" w:eastAsia="Arial" w:hAnsi="Arial"/>
                <w:sz w:val="18"/>
                <w:szCs w:val="18"/>
                <w:color w:val="0000FF"/>
              </w:rPr>
              <w:t>Controls and Procedures</w:t>
            </w:r>
          </w:p>
        </w:tc>
        <w:tc>
          <w:tcPr>
            <w:tcW w:w="2160" w:type="dxa"/>
            <w:vAlign w:val="bottom"/>
            <w:gridSpan w:val="4"/>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89"/>
              </w:rPr>
              <w:t>27</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10060" w:type="dxa"/>
            <w:vAlign w:val="bottom"/>
            <w:gridSpan w:val="18"/>
          </w:tcPr>
          <w:p>
            <w:pPr>
              <w:spacing w:after="0" w:line="189" w:lineRule="exact"/>
              <w:rPr>
                <w:sz w:val="20"/>
                <w:szCs w:val="20"/>
                <w:color w:val="auto"/>
              </w:rPr>
            </w:pPr>
            <w:r>
              <w:rPr>
                <w:rFonts w:ascii="Arial" w:cs="Arial" w:eastAsia="Arial" w:hAnsi="Arial"/>
                <w:sz w:val="18"/>
                <w:szCs w:val="18"/>
                <w:color w:val="0000FF"/>
              </w:rPr>
              <w:t>PART II – OTHER INFORMATION</w:t>
            </w:r>
          </w:p>
        </w:tc>
        <w:tc>
          <w:tcPr>
            <w:tcW w:w="11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28</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Item 2.</w:t>
            </w:r>
          </w:p>
        </w:tc>
        <w:tc>
          <w:tcPr>
            <w:tcW w:w="4880" w:type="dxa"/>
            <w:vAlign w:val="bottom"/>
            <w:gridSpan w:val="8"/>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7"/>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28</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spacing w:after="0" w:line="189" w:lineRule="exact"/>
              <w:rPr>
                <w:sz w:val="20"/>
                <w:szCs w:val="20"/>
                <w:color w:val="auto"/>
              </w:rPr>
            </w:pPr>
            <w:r>
              <w:rPr>
                <w:rFonts w:ascii="Arial" w:cs="Arial" w:eastAsia="Arial" w:hAnsi="Arial"/>
                <w:sz w:val="18"/>
                <w:szCs w:val="18"/>
                <w:color w:val="0000FF"/>
              </w:rPr>
              <w:t>Item 5.</w:t>
            </w:r>
          </w:p>
        </w:tc>
        <w:tc>
          <w:tcPr>
            <w:tcW w:w="488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Other Information</w:t>
            </w:r>
          </w:p>
        </w:tc>
        <w:tc>
          <w:tcPr>
            <w:tcW w:w="4380" w:type="dxa"/>
            <w:vAlign w:val="bottom"/>
            <w:gridSpan w:val="7"/>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89"/>
              </w:rPr>
              <w:t>28</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26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Exhibits</w:t>
            </w:r>
          </w:p>
        </w:tc>
        <w:tc>
          <w:tcPr>
            <w:tcW w:w="11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29</w:t>
            </w:r>
          </w:p>
        </w:tc>
        <w:tc>
          <w:tcPr>
            <w:tcW w:w="40" w:type="dxa"/>
            <w:vAlign w:val="bottom"/>
          </w:tcPr>
          <w:p>
            <w:pPr>
              <w:spacing w:after="0"/>
              <w:rPr>
                <w:sz w:val="18"/>
                <w:szCs w:val="18"/>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gridSpan w:val="2"/>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8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20" w:type="dxa"/>
            <w:vAlign w:val="bottom"/>
            <w:shd w:val="clear" w:color="auto" w:fill="CCEEFF"/>
          </w:tcPr>
          <w:p>
            <w:pPr>
              <w:spacing w:after="0"/>
              <w:rPr>
                <w:sz w:val="18"/>
                <w:szCs w:val="18"/>
                <w:color w:val="auto"/>
              </w:rPr>
            </w:pPr>
          </w:p>
        </w:tc>
        <w:tc>
          <w:tcPr>
            <w:tcW w:w="100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11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30</w:t>
            </w:r>
          </w:p>
        </w:tc>
        <w:tc>
          <w:tcPr>
            <w:tcW w:w="40" w:type="dxa"/>
            <w:vAlign w:val="bottom"/>
          </w:tcPr>
          <w:p>
            <w:pPr>
              <w:spacing w:after="0"/>
              <w:rPr>
                <w:sz w:val="18"/>
                <w:szCs w:val="18"/>
                <w:color w:val="auto"/>
              </w:rPr>
            </w:pPr>
          </w:p>
        </w:tc>
      </w:tr>
      <w:tr>
        <w:trPr>
          <w:trHeight w:val="2180"/>
        </w:trPr>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8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10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10"/>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7"/>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KIMBERLY-CLARK CORPORATION AND SUBSIDIARIES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9"/>
        </w:trPr>
        <w:tc>
          <w:tcPr>
            <w:tcW w:w="772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4"/>
        </w:trPr>
        <w:tc>
          <w:tcPr>
            <w:tcW w:w="6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tcPr>
          <w:p>
            <w:pPr>
              <w:spacing w:after="0"/>
              <w:rPr>
                <w:sz w:val="17"/>
                <w:szCs w:val="17"/>
                <w:color w:val="auto"/>
              </w:rPr>
            </w:pPr>
          </w:p>
        </w:tc>
        <w:tc>
          <w:tcPr>
            <w:tcW w:w="1300" w:type="dxa"/>
            <w:vAlign w:val="bottom"/>
          </w:tcPr>
          <w:p>
            <w:pPr>
              <w:jc w:val="right"/>
              <w:ind w:right="61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11"/>
              <w:spacing w:after="0"/>
              <w:rPr>
                <w:sz w:val="20"/>
                <w:szCs w:val="20"/>
                <w:color w:val="auto"/>
              </w:rPr>
            </w:pPr>
            <w:r>
              <w:rPr>
                <w:rFonts w:ascii="Arial" w:cs="Arial" w:eastAsia="Arial" w:hAnsi="Arial"/>
                <w:sz w:val="14"/>
                <w:szCs w:val="14"/>
                <w:b w:val="1"/>
                <w:bCs w:val="1"/>
                <w:color w:val="auto"/>
              </w:rPr>
              <w:t>2025</w:t>
            </w:r>
          </w:p>
        </w:tc>
      </w:tr>
      <w:tr>
        <w:trPr>
          <w:trHeight w:val="224"/>
        </w:trPr>
        <w:tc>
          <w:tcPr>
            <w:tcW w:w="7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r>
      <w:tr>
        <w:trPr>
          <w:trHeight w:val="229"/>
        </w:trPr>
        <w:tc>
          <w:tcPr>
            <w:tcW w:w="77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Cost of products sold</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r>
        <w:trPr>
          <w:trHeight w:val="223"/>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30"/>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29"/>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(income) and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Nonoperating expense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 and Equity Interests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29"/>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Share of net income of equity companies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7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 Share Basis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720" w:type="dxa"/>
            <w:vAlign w:val="bottom"/>
            <w:gridSpan w:val="3"/>
          </w:tcPr>
          <w:p>
            <w:pPr>
              <w:ind w:left="560"/>
              <w:spacing w:after="0"/>
              <w:rPr>
                <w:sz w:val="20"/>
                <w:szCs w:val="20"/>
                <w:color w:val="auto"/>
              </w:rPr>
            </w:pPr>
            <w:r>
              <w:rPr>
                <w:rFonts w:ascii="Arial" w:cs="Arial" w:eastAsia="Arial" w:hAnsi="Arial"/>
                <w:sz w:val="18"/>
                <w:szCs w:val="18"/>
                <w:b w:val="1"/>
                <w:bCs w:val="1"/>
                <w:color w:val="auto"/>
              </w:rPr>
              <w:t>Basic:</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Continuing operations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2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 Earnings per Share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76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720" w:type="dxa"/>
            <w:vAlign w:val="bottom"/>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Diluted:</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7100" w:type="dxa"/>
            <w:vAlign w:val="bottom"/>
            <w:gridSpan w:val="2"/>
          </w:tcPr>
          <w:p>
            <w:pPr>
              <w:ind w:left="60"/>
              <w:spacing w:after="0"/>
              <w:rPr>
                <w:sz w:val="20"/>
                <w:szCs w:val="20"/>
                <w:color w:val="auto"/>
              </w:rPr>
            </w:pPr>
            <w:r>
              <w:rPr>
                <w:rFonts w:ascii="Arial" w:cs="Arial" w:eastAsia="Arial" w:hAnsi="Arial"/>
                <w:sz w:val="18"/>
                <w:szCs w:val="18"/>
                <w:color w:val="auto"/>
              </w:rPr>
              <w:t>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23"/>
        </w:trPr>
        <w:tc>
          <w:tcPr>
            <w:tcW w:w="620" w:type="dxa"/>
            <w:vAlign w:val="bottom"/>
          </w:tcPr>
          <w:p>
            <w:pPr>
              <w:spacing w:after="0"/>
              <w:rPr>
                <w:sz w:val="19"/>
                <w:szCs w:val="19"/>
                <w:color w:val="auto"/>
              </w:rPr>
            </w:pPr>
          </w:p>
        </w:tc>
        <w:tc>
          <w:tcPr>
            <w:tcW w:w="7100" w:type="dxa"/>
            <w:vAlign w:val="bottom"/>
            <w:gridSpan w:val="2"/>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6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ind w:right="466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COMPREHENSIVE INCOME </w:t>
      </w:r>
      <w:r>
        <w:rPr>
          <w:rFonts w:ascii="Arial" w:cs="Arial" w:eastAsia="Arial" w:hAnsi="Arial"/>
          <w:sz w:val="18"/>
          <w:szCs w:val="18"/>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300" w:type="dxa"/>
            <w:vAlign w:val="bottom"/>
          </w:tcPr>
          <w:p>
            <w:pPr>
              <w:jc w:val="right"/>
              <w:ind w:right="61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2025</w:t>
            </w:r>
          </w:p>
        </w:tc>
      </w:tr>
      <w:tr>
        <w:trPr>
          <w:trHeight w:val="224"/>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Unrealized currency translation adjustments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Employee postretirement benefits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flow hedges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7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Kimberly-Clark Corporation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580" w:type="dxa"/>
            <w:vAlign w:val="bottom"/>
            <w:gridSpan w:val="8"/>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6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580" w:type="dxa"/>
            <w:vAlign w:val="bottom"/>
          </w:tcPr>
          <w:p>
            <w:pPr>
              <w:jc w:val="right"/>
              <w:ind w:right="131"/>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24"/>
        </w:trPr>
        <w:tc>
          <w:tcPr>
            <w:tcW w:w="7480" w:type="dxa"/>
            <w:vAlign w:val="bottom"/>
            <w:tcBorders>
              <w:top w:val="single" w:sz="8" w:color="auto"/>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7580" w:type="dxa"/>
            <w:vAlign w:val="bottom"/>
            <w:gridSpan w:val="8"/>
          </w:tcPr>
          <w:p>
            <w:pPr>
              <w:ind w:left="3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9"/>
        </w:trPr>
        <w:tc>
          <w:tcPr>
            <w:tcW w:w="7580" w:type="dxa"/>
            <w:vAlign w:val="bottom"/>
            <w:gridSpan w:val="8"/>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7580" w:type="dxa"/>
            <w:vAlign w:val="bottom"/>
            <w:gridSpan w:val="8"/>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30"/>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Investments in Equity Companies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29"/>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gridSpan w:val="8"/>
          </w:tcPr>
          <w:p>
            <w:pPr>
              <w:ind w:left="20"/>
              <w:spacing w:after="0"/>
              <w:rPr>
                <w:sz w:val="20"/>
                <w:szCs w:val="20"/>
                <w:color w:val="auto"/>
              </w:rPr>
            </w:pPr>
            <w:r>
              <w:rPr>
                <w:rFonts w:ascii="Arial" w:cs="Arial" w:eastAsia="Arial" w:hAnsi="Arial"/>
                <w:sz w:val="18"/>
                <w:szCs w:val="18"/>
                <w:b w:val="1"/>
                <w:bCs w:val="1"/>
                <w:color w:val="auto"/>
              </w:rPr>
              <w:t>Non-current Assets of Discontinued Operations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gridSpan w:val="8"/>
            <w:shd w:val="clear" w:color="auto" w:fill="CCEEFF"/>
          </w:tcPr>
          <w:p>
            <w:pPr>
              <w:ind w:left="10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Debt payable within one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7580" w:type="dxa"/>
            <w:vAlign w:val="bottom"/>
            <w:gridSpan w:val="8"/>
          </w:tcPr>
          <w:p>
            <w:pPr>
              <w:ind w:left="34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30"/>
        </w:trPr>
        <w:tc>
          <w:tcPr>
            <w:tcW w:w="7580" w:type="dxa"/>
            <w:vAlign w:val="bottom"/>
            <w:gridSpan w:val="8"/>
          </w:tcPr>
          <w:p>
            <w:pPr>
              <w:ind w:left="34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7580" w:type="dxa"/>
            <w:vAlign w:val="bottom"/>
            <w:gridSpan w:val="8"/>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6,903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30"/>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Non-current Employee Benefits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7580" w:type="dxa"/>
            <w:vAlign w:val="bottom"/>
            <w:gridSpan w:val="8"/>
          </w:tcPr>
          <w:p>
            <w:pPr>
              <w:ind w:left="20"/>
              <w:spacing w:after="0"/>
              <w:rPr>
                <w:sz w:val="20"/>
                <w:szCs w:val="20"/>
                <w:color w:val="auto"/>
              </w:rPr>
            </w:pPr>
            <w:r>
              <w:rPr>
                <w:rFonts w:ascii="Arial" w:cs="Arial" w:eastAsia="Arial" w:hAnsi="Arial"/>
                <w:sz w:val="18"/>
                <w:szCs w:val="18"/>
                <w:b w:val="1"/>
                <w:bCs w:val="1"/>
                <w:color w:val="auto"/>
              </w:rPr>
              <w:t>Redeemable Preferred Securities of Subsidiaries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58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8"/>
          </w:tcPr>
          <w:p>
            <w:pPr>
              <w:ind w:left="180"/>
              <w:spacing w:after="0"/>
              <w:rPr>
                <w:sz w:val="20"/>
                <w:szCs w:val="20"/>
                <w:color w:val="auto"/>
              </w:rPr>
            </w:pPr>
            <w:r>
              <w:rPr>
                <w:rFonts w:ascii="Arial" w:cs="Arial" w:eastAsia="Arial" w:hAnsi="Arial"/>
                <w:sz w:val="18"/>
                <w:szCs w:val="18"/>
                <w:b w:val="1"/>
                <w:bCs w:val="1"/>
                <w:color w:val="auto"/>
              </w:rPr>
              <w:t>Kimberly-Clark Corporation</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no</w:t>
            </w:r>
          </w:p>
        </w:tc>
        <w:tc>
          <w:tcPr>
            <w:tcW w:w="1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par value - authorized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million shares,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none</w:t>
            </w: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issued</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580" w:type="dxa"/>
            <w:vAlign w:val="bottom"/>
            <w:gridSpan w:val="8"/>
          </w:tcPr>
          <w:p>
            <w:pPr>
              <w:ind w:left="340"/>
              <w:spacing w:after="0" w:line="176" w:lineRule="exact"/>
              <w:rPr>
                <w:sz w:val="20"/>
                <w:szCs w:val="20"/>
                <w:color w:val="auto"/>
              </w:rPr>
            </w:pPr>
            <w:r>
              <w:rPr>
                <w:rFonts w:ascii="Arial" w:cs="Arial" w:eastAsia="Arial" w:hAnsi="Arial"/>
                <w:sz w:val="18"/>
                <w:szCs w:val="18"/>
                <w:color w:val="auto"/>
              </w:rPr>
              <w:t>Common stock - $1.25 par value - authorized 1,200.0 million shares; issued 378.6 million</w:t>
            </w: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7580" w:type="dxa"/>
            <w:vAlign w:val="bottom"/>
            <w:gridSpan w:val="8"/>
          </w:tcPr>
          <w:p>
            <w:pPr>
              <w:ind w:left="340"/>
              <w:spacing w:after="0"/>
              <w:rPr>
                <w:sz w:val="20"/>
                <w:szCs w:val="20"/>
                <w:color w:val="auto"/>
              </w:rPr>
            </w:pPr>
            <w:r>
              <w:rPr>
                <w:rFonts w:ascii="Arial" w:cs="Arial" w:eastAsia="Arial" w:hAnsi="Arial"/>
                <w:sz w:val="18"/>
                <w:szCs w:val="18"/>
                <w:color w:val="auto"/>
              </w:rPr>
              <w:t>shares as of March 31, 2026 and December 31, 2025</w:t>
            </w:r>
          </w:p>
        </w:tc>
        <w:tc>
          <w:tcPr>
            <w:tcW w:w="2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75"/>
        </w:trPr>
        <w:tc>
          <w:tcPr>
            <w:tcW w:w="7580" w:type="dxa"/>
            <w:vAlign w:val="bottom"/>
            <w:gridSpan w:val="8"/>
          </w:tcPr>
          <w:p>
            <w:pPr>
              <w:ind w:left="340"/>
              <w:spacing w:after="0" w:line="176" w:lineRule="exact"/>
              <w:rPr>
                <w:sz w:val="20"/>
                <w:szCs w:val="20"/>
                <w:color w:val="auto"/>
              </w:rPr>
            </w:pPr>
            <w:r>
              <w:rPr>
                <w:rFonts w:ascii="Arial" w:cs="Arial" w:eastAsia="Arial" w:hAnsi="Arial"/>
                <w:sz w:val="18"/>
                <w:szCs w:val="18"/>
                <w:color w:val="auto"/>
              </w:rPr>
              <w:t>Common stock held in treasury, at cost - 46.7 million shares as of March 31, 2026 and</w:t>
            </w: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43"/>
        </w:trPr>
        <w:tc>
          <w:tcPr>
            <w:tcW w:w="7580" w:type="dxa"/>
            <w:vAlign w:val="bottom"/>
            <w:gridSpan w:val="8"/>
          </w:tcPr>
          <w:p>
            <w:pPr>
              <w:ind w:left="340"/>
              <w:spacing w:after="0"/>
              <w:rPr>
                <w:sz w:val="20"/>
                <w:szCs w:val="20"/>
                <w:color w:val="auto"/>
              </w:rPr>
            </w:pPr>
            <w:r>
              <w:rPr>
                <w:rFonts w:ascii="Arial" w:cs="Arial" w:eastAsia="Arial" w:hAnsi="Arial"/>
                <w:sz w:val="18"/>
                <w:szCs w:val="18"/>
                <w:color w:val="auto"/>
              </w:rPr>
              <w:t>December 31, 2025</w:t>
            </w:r>
          </w:p>
        </w:tc>
        <w:tc>
          <w:tcPr>
            <w:tcW w:w="2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23"/>
        </w:trPr>
        <w:tc>
          <w:tcPr>
            <w:tcW w:w="7580" w:type="dxa"/>
            <w:vAlign w:val="bottom"/>
            <w:gridSpan w:val="8"/>
            <w:shd w:val="clear" w:color="auto" w:fill="CCEEFF"/>
          </w:tcPr>
          <w:p>
            <w:pPr>
              <w:ind w:left="660"/>
              <w:spacing w:after="0"/>
              <w:rPr>
                <w:sz w:val="20"/>
                <w:szCs w:val="20"/>
                <w:color w:val="auto"/>
              </w:rPr>
            </w:pPr>
            <w:r>
              <w:rPr>
                <w:rFonts w:ascii="Arial" w:cs="Arial" w:eastAsia="Arial" w:hAnsi="Arial"/>
                <w:sz w:val="18"/>
                <w:szCs w:val="18"/>
                <w:b w:val="1"/>
                <w:bCs w:val="1"/>
                <w:color w:val="auto"/>
              </w:rPr>
              <w:t>Total Kimberly-Clark Corporation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gridSpan w:val="8"/>
          </w:tcPr>
          <w:p>
            <w:pPr>
              <w:ind w:left="180"/>
              <w:spacing w:after="0"/>
              <w:rPr>
                <w:sz w:val="20"/>
                <w:szCs w:val="20"/>
                <w:color w:val="auto"/>
              </w:rPr>
            </w:pPr>
            <w:r>
              <w:rPr>
                <w:rFonts w:ascii="Arial" w:cs="Arial" w:eastAsia="Arial" w:hAnsi="Arial"/>
                <w:sz w:val="18"/>
                <w:szCs w:val="18"/>
                <w:b w:val="1"/>
                <w:bCs w:val="1"/>
                <w:color w:val="auto"/>
              </w:rPr>
              <w:t>Noncontrolling Interests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580" w:type="dxa"/>
            <w:vAlign w:val="bottom"/>
            <w:gridSpan w:val="8"/>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23"/>
        </w:trPr>
        <w:tc>
          <w:tcPr>
            <w:tcW w:w="7580" w:type="dxa"/>
            <w:vAlign w:val="bottom"/>
            <w:gridSpan w:val="8"/>
          </w:tcPr>
          <w:p>
            <w:pPr>
              <w:ind w:left="10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-1748155</wp:posOffset>
            </wp:positionV>
            <wp:extent cx="9398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28270"/>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ind w:right="474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STOCKHOLDERS' EQUITY </w:t>
      </w:r>
      <w:r>
        <w:rPr>
          <w:rFonts w:ascii="Arial" w:cs="Arial" w:eastAsia="Arial" w:hAnsi="Arial"/>
          <w:sz w:val="18"/>
          <w:szCs w:val="18"/>
          <w:color w:val="auto"/>
        </w:rPr>
        <w:t>(Unaudited)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1"/>
          </w:tcPr>
          <w:p>
            <w:pPr>
              <w:ind w:left="560"/>
              <w:spacing w:after="0"/>
              <w:rPr>
                <w:sz w:val="20"/>
                <w:szCs w:val="20"/>
                <w:color w:val="auto"/>
              </w:rPr>
            </w:pPr>
            <w:r>
              <w:rPr>
                <w:rFonts w:ascii="Arial" w:cs="Arial" w:eastAsia="Arial" w:hAnsi="Arial"/>
                <w:sz w:val="14"/>
                <w:szCs w:val="14"/>
                <w:b w:val="1"/>
                <w:bCs w:val="1"/>
                <w:color w:val="auto"/>
              </w:rPr>
              <w:t>Three Months Ended March 31, 2026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6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4"/>
                <w:szCs w:val="24"/>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381"/>
              <w:spacing w:after="0" w:line="149" w:lineRule="exact"/>
              <w:rPr>
                <w:sz w:val="20"/>
                <w:szCs w:val="20"/>
                <w:color w:val="auto"/>
              </w:rPr>
            </w:pPr>
            <w:r>
              <w:rPr>
                <w:rFonts w:ascii="Arial" w:cs="Arial" w:eastAsia="Arial" w:hAnsi="Arial"/>
                <w:sz w:val="14"/>
                <w:szCs w:val="14"/>
                <w:b w:val="1"/>
                <w:bCs w:val="1"/>
                <w:color w:val="auto"/>
              </w:rPr>
              <w:t>Issued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 millions, except per share</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
                <w:szCs w:val="2"/>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2"/>
                <w:szCs w:val="2"/>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
                <w:szCs w:val="2"/>
                <w:color w:val="auto"/>
              </w:rPr>
            </w:pPr>
          </w:p>
        </w:tc>
        <w:tc>
          <w:tcPr>
            <w:tcW w:w="1080" w:type="dxa"/>
            <w:vAlign w:val="bottom"/>
            <w:vMerge w:val="restart"/>
          </w:tcPr>
          <w:p>
            <w:pPr>
              <w:jc w:val="center"/>
              <w:ind w:right="21"/>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2300" w:type="dxa"/>
            <w:vAlign w:val="bottom"/>
            <w:gridSpan w:val="2"/>
            <w:vMerge w:val="continue"/>
          </w:tcPr>
          <w:p>
            <w:pPr>
              <w:spacing w:after="0"/>
              <w:rPr>
                <w:sz w:val="8"/>
                <w:szCs w:val="8"/>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Shares in thousands)</w:t>
            </w:r>
          </w:p>
        </w:tc>
        <w:tc>
          <w:tcPr>
            <w:tcW w:w="84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1080" w:type="dxa"/>
            <w:vAlign w:val="bottom"/>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Balance as of December 31,</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378,597</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46,699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(5,987)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9,611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(3,444)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1,630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Net income in stockholders'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674</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equity</w:t>
            </w:r>
            <w:r>
              <w:rPr>
                <w:rFonts w:ascii="Arial" w:cs="Arial" w:eastAsia="Arial" w:hAnsi="Arial"/>
                <w:sz w:val="21"/>
                <w:szCs w:val="21"/>
                <w:color w:val="auto"/>
                <w:vertAlign w:val="superscript"/>
              </w:rPr>
              <w:t>(a)</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Stock-based awards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exercised or vested</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Repurchases of common</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Recognition of stock-based</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compensation</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Dividends declared ($1.28</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 share)</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 March 31,</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378,597</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867</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46,671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(5,982)</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9,850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(3,412)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1,914</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40" w:type="dxa"/>
            <w:vAlign w:val="bottom"/>
            <w:gridSpan w:val="4"/>
          </w:tcPr>
          <w:p>
            <w:pPr>
              <w:spacing w:after="0"/>
              <w:rPr>
                <w:sz w:val="20"/>
                <w:szCs w:val="20"/>
                <w:color w:val="auto"/>
              </w:rPr>
            </w:pPr>
            <w:r>
              <w:rPr>
                <w:rFonts w:ascii="Arial" w:cs="Arial" w:eastAsia="Arial" w:hAnsi="Arial"/>
                <w:sz w:val="14"/>
                <w:szCs w:val="14"/>
                <w:color w:val="auto"/>
              </w:rPr>
              <w:t>(a)  Excludes redeemable interests' share.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1"/>
          </w:tcPr>
          <w:p>
            <w:pPr>
              <w:ind w:left="560"/>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6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4"/>
                <w:szCs w:val="24"/>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381"/>
              <w:spacing w:after="0" w:line="149" w:lineRule="exact"/>
              <w:rPr>
                <w:sz w:val="20"/>
                <w:szCs w:val="20"/>
                <w:color w:val="auto"/>
              </w:rPr>
            </w:pPr>
            <w:r>
              <w:rPr>
                <w:rFonts w:ascii="Arial" w:cs="Arial" w:eastAsia="Arial" w:hAnsi="Arial"/>
                <w:sz w:val="14"/>
                <w:szCs w:val="14"/>
                <w:b w:val="1"/>
                <w:bCs w:val="1"/>
                <w:color w:val="auto"/>
              </w:rPr>
              <w:t>Issued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(In millions, except per share</w:t>
            </w: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
                <w:szCs w:val="2"/>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2"/>
                <w:szCs w:val="2"/>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
                <w:szCs w:val="2"/>
                <w:color w:val="auto"/>
              </w:rPr>
            </w:pPr>
          </w:p>
        </w:tc>
        <w:tc>
          <w:tcPr>
            <w:tcW w:w="1080" w:type="dxa"/>
            <w:vAlign w:val="bottom"/>
            <w:vMerge w:val="restart"/>
          </w:tcPr>
          <w:p>
            <w:pPr>
              <w:jc w:val="center"/>
              <w:ind w:right="21"/>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2300" w:type="dxa"/>
            <w:vAlign w:val="bottom"/>
            <w:gridSpan w:val="2"/>
            <w:vMerge w:val="continue"/>
          </w:tcPr>
          <w:p>
            <w:pPr>
              <w:spacing w:after="0"/>
              <w:rPr>
                <w:sz w:val="8"/>
                <w:szCs w:val="8"/>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Shares in thousands)</w:t>
            </w:r>
          </w:p>
        </w:tc>
        <w:tc>
          <w:tcPr>
            <w:tcW w:w="84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1080" w:type="dxa"/>
            <w:vAlign w:val="bottom"/>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Balance as of December 31,</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378,597</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46,798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(5,986)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9,257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Net income in stockholders'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equity</w:t>
            </w:r>
            <w:r>
              <w:rPr>
                <w:rFonts w:ascii="Arial" w:cs="Arial" w:eastAsia="Arial" w:hAnsi="Arial"/>
                <w:sz w:val="21"/>
                <w:szCs w:val="21"/>
                <w:color w:val="auto"/>
                <w:vertAlign w:val="superscript"/>
              </w:rPr>
              <w:t>(a)</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Stock-based awards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exercised or vested</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gridSpan w:val="2"/>
            <w:shd w:val="clear" w:color="auto" w:fill="CCEEFF"/>
          </w:tcPr>
          <w:p>
            <w:pPr>
              <w:ind w:left="180"/>
              <w:spacing w:after="0" w:line="163" w:lineRule="exact"/>
              <w:rPr>
                <w:sz w:val="20"/>
                <w:szCs w:val="20"/>
                <w:color w:val="auto"/>
              </w:rPr>
            </w:pPr>
            <w:r>
              <w:rPr>
                <w:rFonts w:ascii="Arial" w:cs="Arial" w:eastAsia="Arial" w:hAnsi="Arial"/>
                <w:sz w:val="16"/>
                <w:szCs w:val="16"/>
                <w:color w:val="auto"/>
              </w:rPr>
              <w:t>Repurchases of common</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Recognition of stock-based</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compensation</w:t>
            </w:r>
          </w:p>
        </w:tc>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gridSpan w:val="2"/>
            <w:shd w:val="clear" w:color="auto" w:fill="CCEEFF"/>
          </w:tcPr>
          <w:p>
            <w:pPr>
              <w:ind w:left="180"/>
              <w:spacing w:after="0" w:line="163" w:lineRule="exact"/>
              <w:rPr>
                <w:sz w:val="20"/>
                <w:szCs w:val="20"/>
                <w:color w:val="auto"/>
              </w:rPr>
            </w:pPr>
            <w:r>
              <w:rPr>
                <w:rFonts w:ascii="Arial" w:cs="Arial" w:eastAsia="Arial" w:hAnsi="Arial"/>
                <w:sz w:val="16"/>
                <w:szCs w:val="16"/>
                <w:color w:val="auto"/>
              </w:rPr>
              <w:t>Dividends declared ($1.26</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 share)</w:t>
            </w: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43"/>
        </w:trPr>
        <w:tc>
          <w:tcPr>
            <w:tcW w:w="2300" w:type="dxa"/>
            <w:vAlign w:val="bottom"/>
            <w:tcBorders>
              <w:top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Balance as of March 31,</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378,597</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46,730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9,406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  Excludes redeemable interests' share.</w:t>
      </w:r>
    </w:p>
    <w:p>
      <w:pPr>
        <w:spacing w:after="0" w:line="35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2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2025</w:t>
            </w:r>
          </w:p>
        </w:tc>
      </w:tr>
      <w:tr>
        <w:trPr>
          <w:trHeight w:val="224"/>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Net (gains) losses on asset and business dispositions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companies' earnings (in excess of) less than dividends paid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Operating working capital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Postretirement benefits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Cash Provided by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0"/>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spending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Proceeds from asset and business dispositions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in time deposits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Maturities of time deposits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9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Cash Used for Investing</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short-term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Debt repayments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dividends paid to noncontrolling interests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Financing</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56"/>
        </w:trPr>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from continuing operations - beginning of period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79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Cash and cash equivalents from discontinued operations - beginning of period</w:t>
            </w:r>
            <w:r>
              <w:rPr>
                <w:rFonts w:ascii="Arial" w:cs="Arial" w:eastAsia="Arial" w:hAnsi="Arial"/>
                <w:sz w:val="23"/>
                <w:szCs w:val="23"/>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7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from continuing operations - end of period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79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Cash and cash equivalents from discontinued operations - end of period</w:t>
            </w:r>
            <w:r>
              <w:rPr>
                <w:rFonts w:ascii="Arial" w:cs="Arial" w:eastAsia="Arial" w:hAnsi="Arial"/>
                <w:sz w:val="23"/>
                <w:szCs w:val="23"/>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Cash and Cash Equivalents -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  Included in Current assets of discontinued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 w:name="page8"/>
    <w:bookmarkEnd w:id="7"/>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Accounting Policies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of America ("GAAP") for interim financial information and instructions to Form 10-Q and Article 10 of Regulation S-X. Accordingly, they do not include all of the information and footnotes required by GAAP for complete financial statements. In the opinion of management, all material adjustments which are of a normal and recurring nature necessary for a fair statement of the results for the periods presented have been reflected. Amounts are reported in millions of dollars, except per share amounts, unless otherwise noted.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further information, refer to the consolidated financial statements and footnotes included in our Annual Report on Form 10-K for the year ended December 31, 2025. The terms "Corporation," "Company," "Kimberly-Clark," "K-C," "we," "our" and "us" refer to Kimberly-Clark Corporation and its consolidated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5, 2025, we announced that the Company will form a joint venture with Suzano S.A. ("Suzano") and Suzano International Holding B.V., a wholly-owned subsidiary of Suzano ("Buyer"), comprised of substantially all the operations of the Company's former International Family Care and Professional ("IFP") segment (the "IFP Business"). To facilitate this transaction, we entered into an Equity and Asset Purchase Agreement (the "Purchase Agreement") with Buyer, pursuant to which we will, among other things, effectuate a reorganization through the transfer of certain assets, liabilities and equity interests of the IFP Business to Kimberly-Clark IFP NewCo B.V., an indirect wholly-owned subsidiary of the Company (the "Joint Venture"). At the time of closing, which is expected to take place in mid-2026 and will only take place following the satisfaction of consultation requirements and customary closing conditions, including obtaining required regulatory approvals, Buyer will acquire a 51% interest in the Joint Venture for a purchase price of approximately $1.7 billion, subject to certain closing adjustments set forth in the Purchase Agreement, and we will retain a 49% equity interest (the "IFP Transaction").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ASC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we determined the IFP Transaction represents a strategic shift that will have a major effect on our operations and financial results. Accordingly, the results of the IFP Business are reported as discontinued operations in the accompanying Condensed Consolidated Statements of Income and have been excluded from both continuing operations and segment results for all periods presented. Further, the assets and liabilities of the IFP Business are classified as discontinued operations in the accompanying Condensed Consolidated Balance Sheets for all periods presented, and the Company has ceased depreciating and amortizing the long-lived assets of the IFP Business. The Condensed Consolidated Statements of Comprehensive Income, Stockholders' Equity and Cash Flows are presented on a consolidated basis for both continuing operations and discontinued operations. Unless otherwise noted, amounts and disclosures in the Notes to the Unaudited Interim Condensed Consolidated Financial Statements reflect only Kimberly-Clark's continuing operations. See Note 3 for additional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Highly Inflationary Accounting</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GAAP requires the use of highly inflationary accounting for countries whose cumulative three-year inflation exceeds 100%. Under highly inflationary accounting, the countries’ functional currency becomes the U.S. dollar, and its income statement and balance sheet are measured in U.S. dollars using both current and historical rates of exchange.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July 1, 2018, we adopted highly inflationary accounting for our subsidiaries in Argentina (“K-C Argentina”). The effect of changes in exchange rates on peso-denominated monetary assets and liabilities has been reflected in earnings in Other (income) and expense, net. As of March 31, 2026, K-C Argentina had an immaterial net peso monetary position. Net sales of K-C Argentina were approximately 1% of our net sales for the three months ended March 31, 2026 and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As of April 1, 2022, we adopted highly inflationary accounting for our subsidiary in Türkiye (“K-C Türkiye”). The effect of changes in exchange rates on lira-denominated monetary assets and liabilities has been reflected in earnings in Other (income) and expense, net. As of March 31, 2026, K-C Türkiye had an immaterial net lira monetary position. Net sales of K-C Türkiye were less than 1% of our net sales for the three months ended March 31, 2026 and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2024, the FASB issued ASU No. 2024 -03,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(Topic 220)</w:t>
      </w:r>
      <w:r>
        <w:rPr>
          <w:rFonts w:ascii="Arial" w:cs="Arial" w:eastAsia="Arial" w:hAnsi="Arial"/>
          <w:sz w:val="18"/>
          <w:szCs w:val="18"/>
          <w:color w:val="auto"/>
        </w:rPr>
        <w:t>. The new guidance requires disclosure in the notes to the financial statements of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expense categories underlying certain income statement expense line items. The amendments in this ASU are effective for fiscal years beginning after December 15, 2026, and interim periods within fiscal years beginning after December 15, 2027, with early adoption permitted. The amendments should be applied on a prospective basis with retrospective application permitted. We are currently evaluating the impact of this update on our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Intangibles - Goodwill and Other - Internal-Use Software (Topic 350)</w:t>
      </w:r>
      <w:r>
        <w:rPr>
          <w:rFonts w:ascii="Arial" w:cs="Arial" w:eastAsia="Arial" w:hAnsi="Arial"/>
          <w:sz w:val="18"/>
          <w:szCs w:val="18"/>
          <w:color w:val="auto"/>
        </w:rPr>
        <w:t xml:space="preserve"> to modernize the accounting guidance for internal-use software costs. The new guidance eliminates software development stages and clarifies when to begin capitalizing eligible software costs. The amendments in this ASU are effective for fiscal years beginning after December 15, 2027, and interim periods within those fiscal years, with early adoption permitted. The amendments can be applied on a prospective basis, a modified basis for in-process projects or a retrospective basis. We are currently evaluating the impact of this update on our Consolidated Financial Statements and related disclosures.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2025, the FASB issued ASU No. 2025-10, </w:t>
      </w:r>
      <w:r>
        <w:rPr>
          <w:rFonts w:ascii="Arial" w:cs="Arial" w:eastAsia="Arial" w:hAnsi="Arial"/>
          <w:sz w:val="18"/>
          <w:szCs w:val="18"/>
          <w:i w:val="1"/>
          <w:iCs w:val="1"/>
          <w:color w:val="auto"/>
        </w:rPr>
        <w:t>Government Grants (Topic 832)</w:t>
      </w:r>
      <w:r>
        <w:rPr>
          <w:rFonts w:ascii="Arial" w:cs="Arial" w:eastAsia="Arial" w:hAnsi="Arial"/>
          <w:sz w:val="18"/>
          <w:szCs w:val="18"/>
          <w:color w:val="auto"/>
        </w:rPr>
        <w:t xml:space="preserve"> to establish guidance on the recognition, measurement and presentation of government grants received by business entities</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in this ASU are effective for fiscal years beginning after December 15, 2028, and interim periods within those fiscal years, with early adoption permitted. The amendments can be applied on a modified prospective basis, a modified retrospective basis or a retrospective basis. We are currently evaluating the impact of this update on our Consolidated Financial Statements and related disclosures.</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2024 Transformation Initiative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2024, we announced the 2024 Transformation Initiative intended to improve our focus on growth and reduce our structural cost base by realigning our internal operating and management structure to streamline our global supply chain and improve the efficiency of our corporate and regional overhead cost structures. The transformation is expected to impact our organization in all major geographies, and workforce reductions are expected to be in the range of 4% to 5%. Certain actions under the 2024 Transformation Initiative are being finalized for implementation, and accounting for such actions will commence when the actions are authorized for execution.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2024 Transformation Initiative is expected to be completed by the end of 2026, with total costs anticipated to be approximately $1.5 billion pre-tax. Cash costs are expected to be approximately 60% of that amount, primarily related to workforce reductions and other program costs. Expected non-cash charges are primarily related to incremental depreciation and asset write-offs, including losses associated with the expected exit of certain markets. Through March 31, 2026, cumulative pre-tax charges for the 2024 Transformation Initiative were $859 ($666 after-tax).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charges were incurred in connection with the 2024 Transformation Initiative: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Charges for workforce reductions</w:t>
            </w:r>
          </w:p>
        </w:tc>
        <w:tc>
          <w:tcPr>
            <w:tcW w:w="1000" w:type="dxa"/>
            <w:vAlign w:val="bottom"/>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write-offs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Incremental depreciation</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exit costs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research and general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Charges for workforce reductions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exit costs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Nonoperating expense</w:t>
            </w:r>
          </w:p>
        </w:tc>
        <w:tc>
          <w:tcPr>
            <w:tcW w:w="10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 charges</w:t>
            </w:r>
            <w:r>
              <w:rPr>
                <w:rFonts w:ascii="Arial" w:cs="Arial" w:eastAsia="Arial" w:hAnsi="Arial"/>
                <w:sz w:val="23"/>
                <w:szCs w:val="23"/>
                <w:b w:val="1"/>
                <w:bCs w:val="1"/>
                <w:color w:val="auto"/>
                <w:vertAlign w:val="superscript"/>
              </w:rPr>
              <w:t>(b)</w:t>
            </w: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charges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charges related to noncontrolling interests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charges attributable to Kimberly-Clark Corporation</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(income) and expense, net includes gains from the sale of manufacturing facilities and associated real estate as part of the 2024 Transformation Initiative.</w:t>
      </w:r>
    </w:p>
    <w:p>
      <w:pPr>
        <w:spacing w:after="0" w:line="68" w:lineRule="exact"/>
        <w:rPr>
          <w:rFonts w:ascii="Arial" w:cs="Arial" w:eastAsia="Arial" w:hAnsi="Arial"/>
          <w:sz w:val="14"/>
          <w:szCs w:val="14"/>
          <w:color w:val="auto"/>
        </w:rPr>
      </w:pPr>
    </w:p>
    <w:p>
      <w:pPr>
        <w:jc w:val="both"/>
        <w:ind w:left="340" w:hanging="332"/>
        <w:spacing w:after="0" w:line="313"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do not include 2024 Transformation Initiative charges within our segment operating results. Total impact of these charges to the NA segment would have been $56 for the three months ended March 31, 2026 (IPC segment amount was not material), and $27 and $20 to the NA and IPC segments, respectively, for the three months ended March 31, 2025, with the residual relating to Corporate &amp; Other. See further discussion around our segment operating results in Note 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2024 Transformation Initiative liabilities activity: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 of December 31,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Charges for workforce reductions and other cash exit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 of March 31, 2026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2024 Transformation Initiative liabilities are recorded in Accrued expenses and other current liabilities. The charges related to the 2024 Transformation Initiative are reflected within Operating Activities of our Condensed Consolidated Statements of Cash Flows.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0" w:name="page11"/>
    <w:bookmarkEnd w:id="10"/>
    <w:p>
      <w:pPr>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Discontinued Operations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disclosed in Note 1, on June 5, 2025, we announced the sale of a controlling equity interest in a newly formed Joint Venture comprised of our IFP Business. At the time of closing, Buyer will acquire a 51% interest in the Joint Venture for a purchase price of approximately $1.7 billion, subject to certain post-closing adjustments set forth in the Purchase Agreement. We will retain a 49% equity interest in the Joint Venture which we expect will initially be recorded at fair value and subsequently accounted for using the equity method of accounting. The transaction is expected to close in mid-2026, pending the satisfaction of consultation requirements and customary closing conditions, including obtaining required regulatory approvals, set forth in the Purchase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Income from Discontinued Operations, Net of 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products sold</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Nonoperating expense</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before income taxes</w:t>
            </w:r>
          </w:p>
        </w:tc>
        <w:tc>
          <w:tcPr>
            <w:tcW w:w="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IFP Transaction, we incurred separation costs of $32 for the three months ended March 31, 2026, which are included in the reported amounts above. These costs were primarily related to external advisory, legal, accounting, contractor and other incremental costs directly related to the IFP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capital expenditures of discontinued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52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4000" w:type="dxa"/>
            <w:vAlign w:val="bottom"/>
          </w:tcPr>
          <w:p>
            <w:pPr>
              <w:ind w:left="20"/>
              <w:spacing w:after="0"/>
              <w:rPr>
                <w:sz w:val="20"/>
                <w:szCs w:val="20"/>
                <w:color w:val="auto"/>
              </w:rPr>
            </w:pPr>
            <w:r>
              <w:rPr>
                <w:rFonts w:ascii="Arial" w:cs="Arial" w:eastAsia="Arial" w:hAnsi="Arial"/>
                <w:sz w:val="18"/>
                <w:szCs w:val="18"/>
                <w:color w:val="auto"/>
              </w:rPr>
              <w:t>Capital Spending</w:t>
            </w:r>
          </w:p>
        </w:tc>
        <w:tc>
          <w:tcPr>
            <w:tcW w:w="4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851"/>
        </w:trPr>
        <w:tc>
          <w:tcPr>
            <w:tcW w:w="4000" w:type="dxa"/>
            <w:vAlign w:val="bottom"/>
          </w:tcPr>
          <w:p>
            <w:pPr>
              <w:spacing w:after="0"/>
              <w:rPr>
                <w:sz w:val="24"/>
                <w:szCs w:val="24"/>
                <w:color w:val="auto"/>
              </w:rPr>
            </w:pPr>
          </w:p>
        </w:tc>
        <w:tc>
          <w:tcPr>
            <w:tcW w:w="4240" w:type="dxa"/>
            <w:vAlign w:val="bottom"/>
          </w:tcPr>
          <w:p>
            <w:pPr>
              <w:jc w:val="right"/>
              <w:ind w:right="2479"/>
              <w:spacing w:after="0"/>
              <w:rPr>
                <w:sz w:val="20"/>
                <w:szCs w:val="20"/>
                <w:color w:val="auto"/>
              </w:rPr>
            </w:pPr>
            <w:r>
              <w:rPr>
                <w:rFonts w:ascii="Arial" w:cs="Arial" w:eastAsia="Arial" w:hAnsi="Arial"/>
                <w:sz w:val="18"/>
                <w:szCs w:val="18"/>
                <w:color w:val="auto"/>
              </w:rPr>
              <w:t>9</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components of assets and liabilities classified as discontinued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56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Current Assets of Discontinued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Non-current Assets of Discontinued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payable within one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Employee Benefits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1"/>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Agreement and Ancillary Agreements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K-C, Buyer and the Joint Venture will enter into a joint venture agreement (the "JVA"), which will set forth provisions relating to, among other things, the governance of the Joint Venture following closing, transfer restrictions with respect to the parties’ interests in the Joint Venture, and the option of Buyer to purchase K-C's equity interests in the Joint Venture. We will also enter into certain ancillary agreements including intellectual property rights, transition services agreements (the "TSA") and transitional supply arrangements (the "Supply Agreements"). Pursuant to the TSA, K-C will provide certain services to the Joint Venture, on an interim, transitional basis from and after the closing for an initial duration of 18 months, with certain extension rights provided therein. Pursuant to the Supply Agreements, K-C will manufacture and supply certain products to the Joint Venture and, similarly, the Joint Venture will manufacture and supply certain products to K-C for a period of up to 36 months following the closing with certain extension rights provided therein.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Acquisition of Kenvue, Inc.</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The actual value of the transaction will fluctuate based upon changes in the price of Kimberly-Clark common stock and the number of shares of Kenvue common stock outstanding at the time of closing.</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29, 2026, Kimberly-Clark and Kenvue each held a special meeting of their respective stockholders. During the respective meetings, Kimberly-Clark stockholders approved by requisite vote the issuance of Kimberly-Clark common stock as consideration to holders of Kenvue common stock, and Kenvue stockholders adopted by the requisite vote the Merger Agreement. Additionally, the waiting period applicable to the Kenvue Acquisition under the Hart-Scott-Rodino Antitrust Improvements Act of 1976, as amended, expired on February 4, 2026. Completion of the Kenvue Acquisition, which is expected to take place in the second half of 2026, remains subject to the satisfaction of other customary closing conditions, as described in the Merger Agreement, including the receipt of foreign regulatory approvals. The Merger Agreement also provides for certain termination rights, and under certain specified circumstances, both Kimberly-Clark and Kenvue may be required to pay the other a termination fee of $1.1 billion.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we incurred $48 of acquisition-related costs in connection with the Kenvue Acquisition, which are included in Marketing, research and general expenses. As of March 31, 2026 and December 31, 2025, Other current assets includes deferred share issuance costs of $6 that will be recognized in Additional paid-in capital upon issuance of the Stock Consideration discussed above.</w:t>
      </w:r>
    </w:p>
    <w:p>
      <w:pPr>
        <w:spacing w:after="0" w:line="1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Fair Value Information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fair value information is based on a fair value hierarchy that prioritizes the inputs to valuation techniques used to measure fair value. The three levels in the hierarchy used to measure fair value are: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Unadjusted quoted prices in active markets accessible at the reporting date for identical assets and liabilities.</w:t>
      </w:r>
    </w:p>
    <w:p>
      <w:pPr>
        <w:spacing w:after="0" w:line="171"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Level 2 – Quoted prices for similar assets or liabilities in active markets. Quoted prices for identical or similar assets and liabilities in markets that are not considered active or financial instruments for which all significant inputs are observable, either directly or indirectly.</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Prices or valuations that require inputs that are significant to the valuation and are unobservable.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2026 and for the full year 2025, there were no significant transfers to or from level 3 fair value determinations.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assets and liabilities are measured on a recurring basis at fair value. As of March 31, 2026 and December 31, 2025, derivative assets were $135 and $81, respectively, and derivative liabilities were $175 and $191, respectively. The fair values of derivatives used to manage interest rate risk and commodity price risk are based on the Secured Overnight Financing Rate ("SOFR") and interest rate swap curves and on commodity price quotations, respectively. The fair values of hedging instruments used to manage foreign currency risk are based on published quotations of spot currency rates and forward points, which are converted into implied forward currency rates. Measurement of our derivative assets and liabilities is considered a level 2 measurement. See Note 8 for additional information on our use of derivative instruments.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8"/>
          <w:szCs w:val="18"/>
          <w:color w:val="auto"/>
        </w:rPr>
        <w:t>Redeemable preferred securities of subsidiaries are measured on a recurring basis at their estimated redemption values, which approximate fair value. As of March 31, 2026 and December 31, 2025, the securities were valued at $22. The securities are not traded in active markets, and their measurement is considered a level 3 measurement.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Company-owned life insurance ("COLI") assets are measured on a recurring basis at fair value. COLI assets were $69 and $71 as of March 31, 2026 and December 31, 2025, respectively. The COLI policies are a source of funding primarily for our nonqualified employee benefits and are included in Other Assets in the Condensed Consolidated Balance Sheets. The COLI policies are measured at fair value using the net asset value per share practical expedient, and therefore, are not classified in the fair value hierarchy.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fair value of our financial instruments for which disclosure of fair value is required: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 Fair</w:t>
            </w: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48"/>
        </w:trPr>
        <w:tc>
          <w:tcPr>
            <w:tcW w:w="42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March 31, 2026</w:t>
            </w:r>
          </w:p>
        </w:tc>
        <w:tc>
          <w:tcPr>
            <w:tcW w:w="400" w:type="dxa"/>
            <w:vAlign w:val="bottom"/>
          </w:tcPr>
          <w:p>
            <w:pPr>
              <w:spacing w:after="0"/>
              <w:rPr>
                <w:sz w:val="4"/>
                <w:szCs w:val="4"/>
                <w:color w:val="auto"/>
              </w:rPr>
            </w:pPr>
          </w:p>
        </w:tc>
        <w:tc>
          <w:tcPr>
            <w:tcW w:w="2320" w:type="dxa"/>
            <w:vAlign w:val="bottom"/>
            <w:gridSpan w:val="3"/>
            <w:vMerge w:val="restart"/>
          </w:tcPr>
          <w:p>
            <w:pPr>
              <w:jc w:val="right"/>
              <w:ind w:right="636"/>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Hierarchy Level</w:t>
            </w:r>
          </w:p>
        </w:tc>
        <w:tc>
          <w:tcPr>
            <w:tcW w:w="440" w:type="dxa"/>
            <w:vAlign w:val="bottom"/>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4200" w:type="dxa"/>
            <w:vAlign w:val="bottom"/>
          </w:tcPr>
          <w:p>
            <w:pPr>
              <w:ind w:left="100"/>
              <w:spacing w:after="0" w:line="230" w:lineRule="exact"/>
              <w:rPr>
                <w:sz w:val="20"/>
                <w:szCs w:val="20"/>
                <w:color w:val="auto"/>
              </w:rPr>
            </w:pPr>
            <w:r>
              <w:rPr>
                <w:rFonts w:ascii="Arial" w:cs="Arial" w:eastAsia="Arial" w:hAnsi="Arial"/>
                <w:sz w:val="18"/>
                <w:szCs w:val="18"/>
                <w:color w:val="auto"/>
              </w:rPr>
              <w:t>Time deposits</w:t>
            </w:r>
            <w:r>
              <w:rPr>
                <w:rFonts w:ascii="Arial" w:cs="Arial" w:eastAsia="Arial" w:hAnsi="Arial"/>
                <w:sz w:val="23"/>
                <w:szCs w:val="23"/>
                <w:color w:val="auto"/>
                <w:vertAlign w:val="superscript"/>
              </w:rPr>
              <w:t>(b)</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00"/>
              <w:spacing w:after="0" w:line="230" w:lineRule="exact"/>
              <w:rPr>
                <w:sz w:val="20"/>
                <w:szCs w:val="20"/>
                <w:color w:val="auto"/>
              </w:rPr>
            </w:pPr>
            <w:r>
              <w:rPr>
                <w:rFonts w:ascii="Arial" w:cs="Arial" w:eastAsia="Arial" w:hAnsi="Arial"/>
                <w:sz w:val="18"/>
                <w:szCs w:val="18"/>
                <w:color w:val="auto"/>
              </w:rPr>
              <w:t>Short-term debt</w:t>
            </w:r>
            <w:r>
              <w:rPr>
                <w:rFonts w:ascii="Arial" w:cs="Arial" w:eastAsia="Arial" w:hAnsi="Arial"/>
                <w:sz w:val="23"/>
                <w:szCs w:val="23"/>
                <w:color w:val="auto"/>
                <w:vertAlign w:val="superscript"/>
              </w:rPr>
              <w:t>(c)</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595</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6,489</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6,886</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30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equivalents are composed of certificates of deposit, time deposits and other interest-bearing investments with original maturity dates of 90 days or less. Cash equivalents are recorded at cost, which approximates fair value.</w:t>
      </w:r>
    </w:p>
    <w:p>
      <w:pPr>
        <w:spacing w:after="0" w:line="1" w:lineRule="exact"/>
        <w:rPr>
          <w:rFonts w:ascii="Arial" w:cs="Arial" w:eastAsia="Arial" w:hAnsi="Arial"/>
          <w:sz w:val="14"/>
          <w:szCs w:val="14"/>
          <w:color w:val="auto"/>
        </w:rPr>
      </w:pPr>
    </w:p>
    <w:p>
      <w:pPr>
        <w:jc w:val="both"/>
        <w:ind w:left="340" w:hanging="332"/>
        <w:spacing w:after="0" w:line="28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Time deposits are composed of deposits with original maturities of more than 90 days but less than one year and instruments with original maturities of greater than one year, included in Other current assets or Other Assets in the Condensed Consolidated Balance Sheets, as appropriate. Time deposits are recorded at cost, which approximates fair value.</w:t>
      </w:r>
    </w:p>
    <w:p>
      <w:pPr>
        <w:spacing w:after="0" w:line="1" w:lineRule="exact"/>
        <w:rPr>
          <w:rFonts w:ascii="Arial" w:cs="Arial" w:eastAsia="Arial" w:hAnsi="Arial"/>
          <w:sz w:val="14"/>
          <w:szCs w:val="14"/>
          <w:color w:val="auto"/>
        </w:rPr>
      </w:pPr>
    </w:p>
    <w:p>
      <w:pPr>
        <w:ind w:left="340" w:hanging="332"/>
        <w:spacing w:after="0" w:line="30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Short-term debt is composed of U.S. commercial paper and/or other similar short-term debt issued by non-U.S. subsidiaries, all of which are recorded at cost, which approximates fair value.</w:t>
      </w:r>
    </w:p>
    <w:p>
      <w:pPr>
        <w:spacing w:after="0" w:line="1"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Long-term debt includes the current portion of these debt instruments. Fair values were estimated based on quoted prices for financial instruments for which all significant inputs were observable, either directly or indirectly.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4" w:name="page15"/>
    <w:bookmarkEnd w:id="14"/>
    <w:p>
      <w:pPr>
        <w:spacing w:after="0"/>
        <w:tabs>
          <w:tab w:leader="none" w:pos="7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Earnings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Pr>
          <w:p>
            <w:pPr>
              <w:spacing w:after="0"/>
              <w:rPr>
                <w:sz w:val="17"/>
                <w:szCs w:val="17"/>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2025</w:t>
            </w:r>
          </w:p>
        </w:tc>
      </w:tr>
      <w:tr>
        <w:trPr>
          <w:trHeight w:val="224"/>
        </w:trPr>
        <w:tc>
          <w:tcPr>
            <w:tcW w:w="20" w:type="dxa"/>
            <w:vAlign w:val="bottom"/>
            <w:tcBorders>
              <w:top w:val="single" w:sz="8" w:color="auto"/>
            </w:tcBorders>
            <w:shd w:val="clear" w:color="auto" w:fill="CCEEFF"/>
          </w:tcPr>
          <w:p>
            <w:pPr>
              <w:spacing w:after="0"/>
              <w:rPr>
                <w:sz w:val="19"/>
                <w:szCs w:val="19"/>
                <w:color w:val="auto"/>
              </w:rPr>
            </w:pPr>
          </w:p>
        </w:tc>
        <w:tc>
          <w:tcPr>
            <w:tcW w:w="8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Attributable to Kimberly-Clark Corporation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Weighted-Average Common Shares</w:t>
            </w:r>
          </w:p>
        </w:tc>
        <w:tc>
          <w:tcPr>
            <w:tcW w:w="516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331.8</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stock options and restricted share unit awards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8220" w:type="dxa"/>
            <w:vAlign w:val="bottom"/>
            <w:gridSpan w:val="3"/>
          </w:tcPr>
          <w:p>
            <w:pPr>
              <w:ind w:left="12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gridSpan w:val="3"/>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23"/>
        </w:trPr>
        <w:tc>
          <w:tcPr>
            <w:tcW w:w="20" w:type="dxa"/>
            <w:vAlign w:val="bottom"/>
          </w:tcPr>
          <w:p>
            <w:pPr>
              <w:spacing w:after="0"/>
              <w:rPr>
                <w:sz w:val="19"/>
                <w:szCs w:val="19"/>
                <w:color w:val="auto"/>
              </w:rPr>
            </w:pPr>
          </w:p>
        </w:tc>
        <w:tc>
          <w:tcPr>
            <w:tcW w:w="8220" w:type="dxa"/>
            <w:vAlign w:val="bottom"/>
            <w:gridSpan w:val="3"/>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the treasury stock method to calculate the dilutive effect of our outstanding stock-based awards. Options outstanding not included in the computation of diluted EPS because their exercise price was greater than the average market price of the common shares were 2.5 million and 1.2 million for the three months ended March 31, 2026 and 2025, respectively. The number of common shares outstanding as of March 31, 2026 and 2025 was 331.9 million.</w:t>
      </w:r>
    </w:p>
    <w:p>
      <w:pPr>
        <w:spacing w:after="0" w:line="1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7.</w:t>
        <w:tab/>
        <w:t>Stockholders' Equity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unrealized currency gains or losses resulting from the translation of assets and liabilities of foreign subsidiaries, except those in highly inflationary economies, are recorded in Accumulated Other Comprehensive Income ("AOCI"). For these operations, changes in exchange rates generally do not affect cash flows; therefore, unrealized translation adjustments are recorded in AOCI rather than net income. Upon sale or substantially complete liquidation of any of these subsidiaries, the applicable unrealized translation adjustment would be removed from AOCI and reported as part of the gain or loss on the sale or liquidation. The change in unrealized translation for the three months ended March 31, 2026 was primarily due to the strengthening of the U.S. dollar versus various foreign currencies.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Also included in unrealized translation amounts are the effects of foreign exchange rate changes on intercompany balances of a long-term investment nature and transactions designated as hedges of net foreign investments.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changes in the components of AOCI attributable to Kimberly-Clark, net of tax,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Defined Benefit</w:t>
            </w:r>
          </w:p>
        </w:tc>
        <w:tc>
          <w:tcPr>
            <w:tcW w:w="16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Postretirement</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Flow Hedges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6"/>
                <w:szCs w:val="16"/>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Benefit Plans</w:t>
            </w: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40" w:type="dxa"/>
            <w:vAlign w:val="bottom"/>
          </w:tcPr>
          <w:p>
            <w:pPr>
              <w:ind w:left="180"/>
              <w:spacing w:after="0" w:line="15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ind w:left="980"/>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60"/>
              <w:spacing w:after="0" w:line="230" w:lineRule="exact"/>
              <w:rPr>
                <w:sz w:val="20"/>
                <w:szCs w:val="20"/>
                <w:color w:val="auto"/>
              </w:rPr>
            </w:pPr>
            <w:r>
              <w:rPr>
                <w:rFonts w:ascii="Arial" w:cs="Arial" w:eastAsia="Arial" w:hAnsi="Arial"/>
                <w:sz w:val="26"/>
                <w:szCs w:val="26"/>
                <w:color w:val="auto"/>
                <w:vertAlign w:val="subscript"/>
              </w:rPr>
              <w:t>8</w:t>
            </w:r>
            <w:r>
              <w:rPr>
                <w:rFonts w:ascii="Arial" w:cs="Arial" w:eastAsia="Arial" w:hAnsi="Arial"/>
                <w:sz w:val="11"/>
                <w:szCs w:val="11"/>
                <w:color w:val="auto"/>
              </w:rPr>
              <w:t xml:space="preserve"> (a)</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80"/>
              <w:spacing w:after="0" w:line="229" w:lineRule="exact"/>
              <w:rPr>
                <w:sz w:val="20"/>
                <w:szCs w:val="20"/>
                <w:color w:val="auto"/>
              </w:rPr>
            </w:pPr>
            <w:r>
              <w:rPr>
                <w:rFonts w:ascii="Arial" w:cs="Arial" w:eastAsia="Arial" w:hAnsi="Arial"/>
                <w:sz w:val="18"/>
                <w:szCs w:val="18"/>
                <w:color w:val="auto"/>
              </w:rPr>
              <w:t xml:space="preserve">(1) </w:t>
            </w:r>
            <w:r>
              <w:rPr>
                <w:rFonts w:ascii="Arial" w:cs="Arial" w:eastAsia="Arial" w:hAnsi="Arial"/>
                <w:sz w:val="25"/>
                <w:szCs w:val="25"/>
                <w:color w:val="auto"/>
                <w:vertAlign w:val="superscript"/>
              </w:rPr>
              <w:t>(a)</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155"/>
        </w:trPr>
        <w:tc>
          <w:tcPr>
            <w:tcW w:w="4440" w:type="dxa"/>
            <w:vAlign w:val="bottom"/>
          </w:tcPr>
          <w:p>
            <w:pPr>
              <w:ind w:left="180"/>
              <w:spacing w:after="0" w:line="156"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ind w:left="98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40" w:type="dxa"/>
            <w:vAlign w:val="bottom"/>
          </w:tcPr>
          <w:p>
            <w:pPr>
              <w:ind w:left="180"/>
              <w:spacing w:after="0" w:line="15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60"/>
              <w:spacing w:after="0" w:line="230" w:lineRule="exact"/>
              <w:rPr>
                <w:sz w:val="20"/>
                <w:szCs w:val="20"/>
                <w:color w:val="auto"/>
              </w:rPr>
            </w:pPr>
            <w:r>
              <w:rPr>
                <w:rFonts w:ascii="Arial" w:cs="Arial" w:eastAsia="Arial" w:hAnsi="Arial"/>
                <w:sz w:val="26"/>
                <w:szCs w:val="26"/>
                <w:b w:val="1"/>
                <w:bCs w:val="1"/>
                <w:color w:val="auto"/>
                <w:vertAlign w:val="subscript"/>
              </w:rPr>
              <w:t>8</w:t>
            </w:r>
            <w:r>
              <w:rPr>
                <w:rFonts w:ascii="Arial" w:cs="Arial" w:eastAsia="Arial" w:hAnsi="Arial"/>
                <w:sz w:val="11"/>
                <w:szCs w:val="11"/>
                <w:color w:val="auto"/>
              </w:rPr>
              <w:t xml:space="preserve"> (a)</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80"/>
              <w:spacing w:after="0" w:line="229" w:lineRule="exact"/>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25"/>
                <w:szCs w:val="25"/>
                <w:color w:val="auto"/>
                <w:vertAlign w:val="superscript"/>
              </w:rPr>
              <w:t>(a)</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0" w:type="dxa"/>
            <w:vAlign w:val="bottom"/>
          </w:tcPr>
          <w:p>
            <w:pPr>
              <w:spacing w:after="0"/>
              <w:rPr>
                <w:sz w:val="1"/>
                <w:szCs w:val="1"/>
                <w:color w:val="auto"/>
              </w:rPr>
            </w:pPr>
          </w:p>
        </w:tc>
      </w:tr>
      <w:tr>
        <w:trPr>
          <w:trHeight w:val="155"/>
        </w:trPr>
        <w:tc>
          <w:tcPr>
            <w:tcW w:w="4440" w:type="dxa"/>
            <w:vAlign w:val="bottom"/>
          </w:tcPr>
          <w:p>
            <w:pPr>
              <w:ind w:left="180"/>
              <w:spacing w:after="0" w:line="156"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ind w:left="980"/>
              <w:spacing w:after="0"/>
              <w:rPr>
                <w:sz w:val="20"/>
                <w:szCs w:val="20"/>
                <w:color w:val="auto"/>
              </w:rPr>
            </w:pPr>
            <w:r>
              <w:rPr>
                <w:rFonts w:ascii="Arial" w:cs="Arial" w:eastAsia="Arial" w:hAnsi="Arial"/>
                <w:sz w:val="18"/>
                <w:szCs w:val="18"/>
                <w:b w:val="1"/>
                <w:bCs w:val="1"/>
                <w:color w:val="auto"/>
                <w:w w:val="99"/>
              </w:rPr>
              <w:t>(1)</w:t>
            </w:r>
          </w:p>
        </w:tc>
        <w:tc>
          <w:tcPr>
            <w:tcW w:w="3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Nonoperating expense as part of the computation of net periodic benefit costs.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Interest expense, Cost of products sold or Other (income) and expense, net, based on the income statement line that the hedged exposure affects earnings.</w:t>
      </w:r>
    </w:p>
    <w:p>
      <w:pPr>
        <w:spacing w:after="0" w:line="1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8.</w:t>
        <w:tab/>
        <w:t>Objectives and Strategies for Using Derivatives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multinational enterprise, we are exposed to financial risks, such as changes in foreign currency exchange rates, interest rates, and commodity prices. We employ a number of practices to manage these risks, including operating and financing activities and, where appropriate, the use of derivative instruments.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March 31, 2026 and December 31, 2025, derivative assets were $135 and $81, respectively, and derivative liabilities were $175 and $191, respectively, primarily comprised of foreign currency exchange, interest rate and commodity price contracts. Derivative assets are recorded in Other current assets or Other Assets, as appropriate, and derivative liabilities are recorded in Accrued expenses and other current liabilities or Other Liabilities, as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Rate Risk</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Translation adjustments result from translating foreign entities' financial statements into U.S. dollars from their functional currencies. The risk to any particular entity's net assets is reduced to the extent that the entity is financed with local currency borrowings. A portion of our balance sheet translation exposure for certain affiliates, which results from changes in translation rates between the affiliates’ functional currencies and the U.S. dollar, is hedged with cross-currency swap contracts and certain foreign denominated debt which are designated as net investment hedges. The foreign currency exposure on certain non-functional currency denominated monetary assets and liabilities, primarily intercompany loans and accounts payable, is hedged primarily with undesignated derivative instruments.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Derivative instruments are used to hedge a portion of forecasted cash flows denominated in foreign currencies for non-U.S. operations' purchases of raw materials, which are priced in U.S. dollars, and imports of intercompany finished goods and work-in-process inventories priced predominantly in U.S. dollars and euros. The derivative instruments used to manage these exposures are designated as cash flow hedges.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rate risk is managed using a portfolio of variable and fixed-rate debt composed of short and long-term instruments. Interest rate swap contracts may be used to facilitate the maintenance of the desired ratio of variable and fixed-rate debt and are designated as fair value hedges. From time to time, we also hedge the anticipated issuance of fixed-rate debt, and these contracts are designated as cash flow hedges.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Commodity Price Risk</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derivative instruments, such as commodity forward and price swap contracts, to hedge a portion of our exposure to market risk arising from changes in prices of certain commodities. These derivatives are primarily designated as cash flow hedges of specific quantities of the underlying commodity expected to be purchased in future months. In addition, we utilize negotiated contracts of varying durations along with strategic pricing mechanisms to manage volatility for a portion of our commodity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instruments that are designated and qualify as fair value hedges are predominantly used to manage interest rate risk. The fair values of these derivative instruments are recorded as an asset or liability, as appropriate, with the offset recorded in Interest expense. The offset to the change in fair values of the related debt is also recorded in Interest expense. Any realized gain or loss on the derivatives that hedge interest rate risk is amortized to Interest expense over the life of the related debt. As of March 31, 2026, the aggregate notional values and carrying values of debt subject to outstanding interest rate contracts designated as fair value hedges were $325 and $303, respectively. For the three months ended March 31, 2026 and 2025, gains or losses recognized in Interest expense for interest rate swaps were not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derivative instruments that are designated and qualify as cash flow hedges, the gain or loss on the derivative instrument is initially recorded in AOCI, net of related income taxes, and recognized in earnings in the same income statement line and period that the hedged exposure affects earnings. As of March 31, 2026, the aggregate notional value of outstanding foreign exchange and commodity derivative contracts designated as cash flow hedges was $ 2.1 billion. For the three months ended March 31, 2026 and 2025, no material gains or losses were reclassified from AOCI into earnings as a result of the discontinuance of cash flow hedge accounting. As of March 31, 2026, losses expected to be reclassified from AOCI into Interest expense, Cost of products sold or Other (income) and expense, net during the next twelve months are $5. The maximum maturity of cash flow hedges in place as of March 31, 2026 is February 2029.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that are designated and qualify as net investment hedges, unrealized gains and losses related to changes in fair value of net investment hedges are recorded in AOCI and offset the change in the value of the net investment being hedged. As of March 31, 2026, the aggregate notional value of these instruments was $2.0 billion. We exclude the interest accruals on cross-currency swap contracts and the forward points on foreign exchange forward contracts from the assessment and measurement of hedge effectiveness. Interest accruals on cross-currency swap contracts are recognized in earnings within Interest expense. We amortize the forward points on foreign exchange contracts into earnings within Interest expense over the life of the hedging relationship. For the three months ended March 31, 2026 and 2025, unrealized gains of $27 and unrealized losses of $20, respectively, related to net investment hedge fair value changes were recorded in AOCI and no material amounts were reclassified from AOCI to Interest expense.</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and 2025, no material amounts were excluded from the assessment of net investment, fair value or cash flow hedge effectiveness.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Undesignated Hedging Instruments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Gains or losses on undesignated foreign exchange instruments are immediately recognized in Other (income) and expense, net. For the three months ended March 31, 2026 and 2025, we recognized losses of $3 and gains of $24, respectively. The effect on earnings from the use of these undesignated derivatives is substantially neutralized by the transactional gains and losses recorded on the underlying assets and liabilities. As of March 31, 2026, the notional amount of these undesignated derivative instruments was approximately $4.6 billion.</w:t>
      </w:r>
    </w:p>
    <w:p>
      <w:pPr>
        <w:spacing w:after="0" w:line="1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Segment Reporting</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continuing operations are organized by operating segments aggregated into two reportable segments defined by geographic region: North America ("NA") and International Personal Care ("IPC").</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IFP Transaction discussed in Notes 1 and 3, the results of operations and applicable assets and liabilities of the IFP Business are reported as discontinued operations in the Company's financial statements and are excluded from segment results for all periods presented. Certain operations and commercial activities of the former IFP segment retained by K-C are now reported in the NA and IPC segments. For further information about these changes, refer to our Annual Report on Form 10-K for the year ended December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The reportable segments were determined in accordance with how our Chief Executive Officer, who is our chief operating decision maker ("CODM"), develops and executes global strategies to drive growth and profitability. These strategies include global plans for branding and product positioning, technology, research and development programs, cost reductions including supply chain management, and capacity and capital investments for each of these businesses. The primary measure of segment profitability utilized by our CODM is segment operating profit. Our CODM uses this measure to assess the operating results and performance of our segments, perform analytical comparisons to budget and allocate resources to each segment. Segment operating profit excludes Corporate &amp; Other, which primarily encompasses certain unallocated general corporate expenses, impairment charges, one-time (gains) or losses associated with acquisitions and divestitures, costs related to our reorganization activities that are not associated with the ongoing operations of the segments, certain operations of the former IFP segment that were divested prior to the IFP Transaction, and costs previously allocated to the former IFP segment that aren't reported as discontinued operations. Our CODM does not use assets by segment to evaluate performance or allocate resources. Therefore, we do not disclose assets by segment.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sources of revenue in each segment are described below:</w:t>
      </w:r>
    </w:p>
    <w:p>
      <w:pPr>
        <w:spacing w:after="0" w:line="117"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consists of products encompassing each of our five global daily-need categories across consumer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including disposable diapers, training and youth pants, swimpants, baby wipes, feminine and incontinence care products, reusable underwear, facial and bathroom tissue, paper towels, napkins, wipers, tissue, towels, soaps and sanitizers and other related products. These products are sold under the Huggies, Pull-Ups, GoodNites, Kotex, Poise, Depend, Kleenex, Scott, Cottonelle, Viva, Wypall and other brand names.</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Personal Care </w:t>
      </w:r>
      <w:r>
        <w:rPr>
          <w:rFonts w:ascii="Arial" w:cs="Arial" w:eastAsia="Arial" w:hAnsi="Arial"/>
          <w:sz w:val="18"/>
          <w:szCs w:val="18"/>
          <w:color w:val="auto"/>
        </w:rPr>
        <w:t>consists of three core categories — Baby &amp; Child Care, Adult Care and Feminine Care,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disposable diapers, training and youth pants, swimpants, baby wipes, feminine and incontinence care products, reusable underwear and other related products. These products are sold under the Huggies, Kotex, Goodfeel, Intimus, Depend and other brand names.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tables below present net sales and the significant expense categories that are included in Segment Operating Profit and regularly provided to our CODM:</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rPr>
              <w:t>Three Months Ended March 31, 2026</w:t>
            </w:r>
          </w:p>
        </w:tc>
        <w:tc>
          <w:tcPr>
            <w:tcW w:w="960" w:type="dxa"/>
            <w:vAlign w:val="bottom"/>
            <w:tcBorders>
              <w:bottom w:val="single" w:sz="8" w:color="auto"/>
            </w:tcBorders>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480" w:type="dxa"/>
            <w:vAlign w:val="bottom"/>
          </w:tcPr>
          <w:p>
            <w:pPr>
              <w:spacing w:after="0"/>
              <w:rPr>
                <w:sz w:val="17"/>
                <w:szCs w:val="17"/>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4,163</w:t>
            </w:r>
          </w:p>
        </w:tc>
      </w:tr>
      <w:tr>
        <w:trPr>
          <w:trHeight w:val="257"/>
        </w:trPr>
        <w:tc>
          <w:tcPr>
            <w:tcW w:w="6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2,570</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298</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r>
      <w:tr>
        <w:trPr>
          <w:trHeight w:val="230"/>
        </w:trPr>
        <w:tc>
          <w:tcPr>
            <w:tcW w:w="6720" w:type="dxa"/>
            <w:vAlign w:val="bottom"/>
          </w:tcPr>
          <w:p>
            <w:pPr>
              <w:ind w:left="140"/>
              <w:spacing w:after="0" w:line="230"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67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rPr>
              <w:t>Three Months Ended March 31, 2025</w:t>
            </w:r>
          </w:p>
        </w:tc>
        <w:tc>
          <w:tcPr>
            <w:tcW w:w="960" w:type="dxa"/>
            <w:vAlign w:val="bottom"/>
            <w:tcBorders>
              <w:bottom w:val="single" w:sz="8" w:color="auto"/>
            </w:tcBorders>
          </w:tcPr>
          <w:p>
            <w:pPr>
              <w:spacing w:after="0"/>
              <w:rPr>
                <w:sz w:val="24"/>
                <w:szCs w:val="24"/>
                <w:color w:val="auto"/>
              </w:rPr>
            </w:pPr>
          </w:p>
        </w:tc>
      </w:tr>
      <w:tr>
        <w:trPr>
          <w:trHeight w:val="196"/>
        </w:trPr>
        <w:tc>
          <w:tcPr>
            <w:tcW w:w="67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480" w:type="dxa"/>
            <w:vAlign w:val="bottom"/>
          </w:tcPr>
          <w:p>
            <w:pPr>
              <w:spacing w:after="0"/>
              <w:rPr>
                <w:sz w:val="17"/>
                <w:szCs w:val="17"/>
                <w:color w:val="auto"/>
              </w:rPr>
            </w:pPr>
          </w:p>
        </w:tc>
        <w:tc>
          <w:tcPr>
            <w:tcW w:w="96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r>
      <w:tr>
        <w:trPr>
          <w:trHeight w:val="257"/>
        </w:trPr>
        <w:tc>
          <w:tcPr>
            <w:tcW w:w="6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6720" w:type="dxa"/>
            <w:vAlign w:val="bottom"/>
          </w:tcPr>
          <w:p>
            <w:pPr>
              <w:ind w:left="140"/>
              <w:spacing w:after="0" w:line="230"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280" w:hanging="332"/>
        <w:spacing w:after="0" w:line="285" w:lineRule="auto"/>
        <w:tabs>
          <w:tab w:leader="none" w:pos="352"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(income) and expense, net primarily includes the effects of changes in exchange rates on monetary assets and liabilities for subsidiaries where we have adopted highly inflationary accounting.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Depreciation and amortization expense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IPC</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Depreciation and Amortization</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8240" w:type="dxa"/>
            <w:vAlign w:val="bottom"/>
            <w:tcBorders>
              <w:top w:val="single" w:sz="8" w:color="CCEEFF"/>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(a)</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discontinued operations. See Note 3 for depreciation and amortization of discontinued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spending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IPC</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Capital Spending</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&amp; Other</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(a)</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discontinued operations. See Note 3 for capital spending of discontinued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of Principal Products: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Borders>
              <w:bottom w:val="single" w:sz="8" w:color="auto"/>
            </w:tcBorders>
            <w:gridSpan w:val="9"/>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4"/>
                <w:szCs w:val="14"/>
                <w:b w:val="1"/>
                <w:bCs w:val="1"/>
                <w:color w:val="auto"/>
                <w:w w:val="96"/>
              </w:rPr>
              <w:t>2026</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Baby and Child Care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Family Care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Adult Care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Feminine Care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Supplemental Balance Sheet Data</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500" w:type="dxa"/>
            <w:vAlign w:val="bottom"/>
            <w:gridSpan w:val="7"/>
          </w:tcPr>
          <w:p>
            <w:pPr>
              <w:spacing w:after="0"/>
              <w:rPr>
                <w:sz w:val="20"/>
                <w:szCs w:val="20"/>
                <w:color w:val="auto"/>
              </w:rPr>
            </w:pPr>
            <w:r>
              <w:rPr>
                <w:rFonts w:ascii="Arial" w:cs="Arial" w:eastAsia="Arial" w:hAnsi="Arial"/>
                <w:sz w:val="18"/>
                <w:szCs w:val="18"/>
                <w:color w:val="auto"/>
              </w:rPr>
              <w:t>The following schedule presents a summary of inventories by major class: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LIFO</w:t>
            </w:r>
          </w:p>
        </w:tc>
        <w:tc>
          <w:tcPr>
            <w:tcW w:w="16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Non-LIFO</w:t>
            </w:r>
          </w:p>
        </w:tc>
        <w:tc>
          <w:tcPr>
            <w:tcW w:w="26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84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LIFO</w:t>
            </w:r>
          </w:p>
        </w:tc>
        <w:tc>
          <w:tcPr>
            <w:tcW w:w="120" w:type="dxa"/>
            <w:vAlign w:val="bottom"/>
          </w:tcPr>
          <w:p>
            <w:pPr>
              <w:spacing w:after="0"/>
              <w:rPr>
                <w:sz w:val="17"/>
                <w:szCs w:val="17"/>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Non-LIFO</w:t>
            </w:r>
          </w:p>
        </w:tc>
        <w:tc>
          <w:tcPr>
            <w:tcW w:w="160" w:type="dxa"/>
            <w:vAlign w:val="bottom"/>
          </w:tcPr>
          <w:p>
            <w:pPr>
              <w:spacing w:after="0"/>
              <w:rPr>
                <w:sz w:val="17"/>
                <w:szCs w:val="17"/>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9"/>
              </w:rPr>
              <w:t>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957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line="183" w:lineRule="exact"/>
              <w:rPr>
                <w:sz w:val="20"/>
                <w:szCs w:val="20"/>
                <w:color w:val="auto"/>
              </w:rPr>
            </w:pPr>
            <w:r>
              <w:rPr>
                <w:rFonts w:ascii="Arial" w:cs="Arial" w:eastAsia="Arial" w:hAnsi="Arial"/>
                <w:sz w:val="18"/>
                <w:szCs w:val="18"/>
                <w:color w:val="auto"/>
              </w:rPr>
              <w:t>Excess of FIFO or weighted-average cost over</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5"/>
        </w:trPr>
        <w:tc>
          <w:tcPr>
            <w:tcW w:w="4100" w:type="dxa"/>
            <w:vAlign w:val="bottom"/>
          </w:tcPr>
          <w:p>
            <w:pPr>
              <w:ind w:left="20"/>
              <w:spacing w:after="0"/>
              <w:rPr>
                <w:sz w:val="20"/>
                <w:szCs w:val="20"/>
                <w:color w:val="auto"/>
              </w:rPr>
            </w:pPr>
            <w:r>
              <w:rPr>
                <w:rFonts w:ascii="Arial" w:cs="Arial" w:eastAsia="Arial" w:hAnsi="Arial"/>
                <w:sz w:val="18"/>
                <w:szCs w:val="18"/>
                <w:color w:val="auto"/>
              </w:rPr>
              <w:t>LIFO cost</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are valued at the lower of cost or net realizable value, determined on the FIFO or weighted-average cost methods, and at the lower of cost or market, determined on the LIFO cost method.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schedule presents a summary of property, plant and equipment,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56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r>
      <w:tr>
        <w:trPr>
          <w:trHeight w:val="223"/>
        </w:trPr>
        <w:tc>
          <w:tcPr>
            <w:tcW w:w="7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w:t>
            </w: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Finance Program</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supplier finance program managed through two global financial institutions under which we agree to pay the financial institutions the stated amount of confirmed invoices from our participating suppliers on the invoice due date. We, or the global financial institutions, may terminate our agreements at any time upon 30 days written notice. The global financial institutions may terminate our agreements at any time upon three days written notice in the event there are insufficient funds available for disbursement. We do not provide any forms of guarantees under these agreements. Supplier participation in the program is solely up to the supplier, and the participating suppliers negotiate their arrangements directly with the global financial institutions. We have no economic interest in a supplier’s decision to participate in the program, and their participation has no bearing on our payment terms or amounts due. The payment terms that we have with our suppliers under this program generally range from 75 to 180 days and are considered commercially reasonable. The outstanding amount related to the suppliers participating in this program was $1.0 billion and $1.1 billion as of March 31, 2026 and December 31, 2025, of which $185 and $184, respectively, are reported as discontinued operations. Amounts are recorded within Trade accounts payable and Current liabilities of discontinued operations.</w:t>
      </w:r>
    </w:p>
    <w:p>
      <w:pPr>
        <w:spacing w:after="0" w:line="128" w:lineRule="exact"/>
        <w:rPr>
          <w:sz w:val="20"/>
          <w:szCs w:val="20"/>
          <w:color w:val="auto"/>
        </w:rPr>
      </w:pPr>
    </w:p>
    <w:p>
      <w:pPr>
        <w:ind w:right="2820"/>
        <w:spacing w:after="0" w:line="3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Management's Discussion and Analysis ("MD&amp;A") of Financial Condition and Results of Operations is intended to provide investors with an understanding of our recent performance, financial condition, cash flows and future prospects. The following MD&amp;A should be read in conjunction with our Annual Report on Form 10-K for the year ended December 31, 2025 and the Unaudited Interim Condensed Consolidated Financial Statements and related notes contained in this Quarterly Report on Form 10-Q. Our analysis compares results for the three months ended March 31, 2026 to the same period in 2025. As discussed in the Notes to the Unaudited Interim Condensed Consolidated Financial Statements, the results and related assets and liabilities of the IFP Business are reported as discontinued operations. As a result, unless specifically stated, all discussions included below reflect continuing operations for all periods presented. Any reference to "N.M." indicates the calculation is not meaningful. Amounts are reported in millions of dollars, except per share amounts, unless otherwise noted. The following will be discussed and analyzed:</w:t>
      </w:r>
    </w:p>
    <w:p>
      <w:pPr>
        <w:spacing w:after="0" w:line="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Overview of Business and Recent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MD&amp;A, we refer to financial measures that have not been calculated in accordance with accounting principles generally accepted in the U.S. ("GAAP"), and are therefore referred to as non-GAAP financial measures. We believe these measures provide our investors with additional information about our underlying results and trends, as well as insight to some of the financial measures used to evaluate management. For additional information and reconciliations to the most closely comparable financial measures presented in our Unaudited Interim Condensed Consolidated Financial Statements, which are calculated in accordance with GAAP, see "Summary of Non-GAAP Financial Measures"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Recent Developments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global company focused on delivering products and solutions that provide better care for a better world, with manufacturing facilities in 30 countries, including our equity affiliates, and products sold in more than 175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ind w:right="420"/>
        <w:spacing w:after="0" w:line="375" w:lineRule="auto"/>
        <w:rPr>
          <w:sz w:val="20"/>
          <w:szCs w:val="20"/>
          <w:color w:val="auto"/>
        </w:rPr>
      </w:pPr>
      <w:r>
        <w:rPr>
          <w:rFonts w:ascii="Arial" w:cs="Arial" w:eastAsia="Arial" w:hAnsi="Arial"/>
          <w:sz w:val="18"/>
          <w:szCs w:val="18"/>
          <w:color w:val="auto"/>
        </w:rPr>
        <w:t xml:space="preserve">countries and territories. Our products are sold under well-known brands such as Kleenex, Scott, Huggies, Pull-Ups, Kotex and Depend. </w:t>
      </w:r>
      <w:r>
        <w:rPr>
          <w:rFonts w:ascii="Arial" w:cs="Arial" w:eastAsia="Arial" w:hAnsi="Arial"/>
          <w:sz w:val="18"/>
          <w:szCs w:val="18"/>
          <w:u w:val="single" w:color="auto"/>
          <w:color w:val="auto"/>
        </w:rPr>
        <w:t>Conflict in the Middle East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Ongoing geopolitical conflicts in the Middle East have led to disruptions in global energy supplies and volatility in global energy prices, including the prices for certain raw materials that are principally derived from petroleum, which may contribute to inflationary pressures, disrupt global supply chains and adversely impact consumer spending patterns. Based on preliminary analysis reflecting the current market environment and assuming oil prices remain at $100 per barrel for the remainder of the year, we estimate incremental input costs of approximately $ 200 (prior to consideration of mitigation actions) during the remainder of 2026. We are continuing to evaluate the evolving macroeconomic environment and our ability to mitigate the impact on our business, consolidated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Acquisition of Kenvue, Inc.</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(as defined below). The actual value of the transaction will fluctuate based upon changes in the price of Kimberly-Clark common stock and the number of shares of Kenvue common stock outstanding at the time of closing.</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we incurred $48 of acquisition-related costs in connection with the Kenvue Acquisition, which are included in Marketing, research and general expenses. See Item 1, Note 4 to the Unaudited Interim Condensed Consolidated Financial Statements for further details.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5, 2025, we announced that the Company will form a joint venture with Suzano S.A. ("Suzano") and Suzano International Holding B.V., a wholly-owned subsidiary of Suzano ("Buyer"), comprised of substantially all the operations of the Company's former IFP segment (the "IFP Business"). At the time of closing, which is expected to take place in mid-2026 and will only take place following the satisfaction of consultation requirements and customary closing conditions, including obtaining required regulatory approvals, Buyer will acquire a 51% interest in the joint venture for a purchase price of approximately $1.7 billion, subject to certain closing adjustments set forth in the Equity and Asset Purchase Agreement, and we will retain a 49% equity interest (the "IFP Transaction"). As a result, the results of operations and applicable assets and liabilities of the IFP Business are reported as discontinued operations in the Company's financial statements for all periods presented. See Item 1, Notes 1 and 3 to the Unaudited Interim Condensed Consolidated Financial Statements for further details.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 IFP Transaction discussed above, the Company's continuing operations are now organized into two reportable segments defined by geographic region: North America ("NA") and International Personal Care ("IPC"). The results of the IFP Business are excluded from segment results for all periods presented. Segments are described in greater detail in Item 1, Note 9 to the Unaudited Interim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2024 Transformation Initiative</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2024 Transformation Initiative is designed to sharpen our strategic focus through a new operating model and strategy that leverages three synergistic pillars:</w:t>
      </w:r>
    </w:p>
    <w:p>
      <w:pPr>
        <w:spacing w:after="0" w:line="45" w:lineRule="exact"/>
        <w:rPr>
          <w:sz w:val="20"/>
          <w:szCs w:val="20"/>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Accelerating pioneering innovation to capture significant growth available in our product categories by investing in science-based and proprietary technology to solve unmet and evolving consumer needs, and delivering breakthrough storytelling to drive category participation and brand love;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Optimizing our margin structure to deliver superior consumer propositions at every rung of the good, better, best ladder, and implement initiatives and deploy technology and data analytics designed to create a fast, adaptable, integrated supply chain with greater visibility that can deliver continuous improvement;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Wiring our organization for growth to drive agility, speed, and focused execution that extends our competitive advantages further into the future.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transformation is expected to impact our organization in all major geographies, and workforce reductions are expected to be in the range of 4% to 5%. Certain actions under the 2024 Transformation Initiative are being finalized for implementation, and accounting for such actions will commence when the actions are authorized for execution. The 2024 Transformation Initiative is expected to be completed by the end of 2026. Total pre-tax savings are expected to be $3.0 billion in gross productivity; inclusive of input cost and manufacturing cost savings, and $200 in selling, general and administrative expenses. Total costs are anticipated to be approximately $1.5 billion pre-tax. Cash costs are expected to be approximately 60% of that amount, primarily related to workforce reductions and other program costs. Expected non-cash charges are primarily related to incremental depreciation and asset write-offs, including losses associated with the expected exit of certain markets. For the three months ended March 31, 2026 and 2025, total 2024 Transformation Initiative charges were $51 pre-tax ($32 after-tax) and $ 77 pre-tax ($77 after-tax), respectively. Through March 31, 2026, cumulative pre-tax charges for the 2024 Transformation Initiative were $859 ($666 after-tax), and approximately 90% of the total expected selling, general and administrative expense savings have been realized or approved for action program to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10"/>
          </w:tcPr>
          <w:p>
            <w:pPr>
              <w:ind w:left="102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7"/>
                <w:szCs w:val="17"/>
                <w:color w:val="auto"/>
              </w:rPr>
            </w:pPr>
          </w:p>
        </w:tc>
      </w:tr>
      <w:tr>
        <w:trPr>
          <w:trHeight w:val="196"/>
        </w:trPr>
        <w:tc>
          <w:tcPr>
            <w:tcW w:w="330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638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25.2 %</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22.3 %</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from Discontinued Operations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6380" w:type="dxa"/>
            <w:vAlign w:val="bottom"/>
            <w:gridSpan w:val="2"/>
          </w:tcPr>
          <w:p>
            <w:pPr>
              <w:spacing w:after="0"/>
              <w:rPr>
                <w:sz w:val="20"/>
                <w:szCs w:val="20"/>
                <w:color w:val="auto"/>
              </w:rPr>
            </w:pPr>
            <w:r>
              <w:rPr>
                <w:rFonts w:ascii="Arial" w:cs="Arial" w:eastAsia="Arial" w:hAnsi="Arial"/>
                <w:sz w:val="18"/>
                <w:szCs w:val="18"/>
                <w:color w:val="auto"/>
              </w:rPr>
              <w:t>Adjusted Results - Continuing Operations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0"/>
        </w:trPr>
        <w:tc>
          <w:tcPr>
            <w:tcW w:w="330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ind w:left="90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24"/>
                <w:szCs w:val="24"/>
                <w:color w:val="auto"/>
              </w:rPr>
            </w:pPr>
          </w:p>
        </w:tc>
      </w:tr>
      <w:tr>
        <w:trPr>
          <w:trHeight w:val="196"/>
        </w:trPr>
        <w:tc>
          <w:tcPr>
            <w:tcW w:w="330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rPr>
              <w:t>Adjusted Gross Profit</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638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Adjusted Operating Profit</w:t>
            </w:r>
            <w:r>
              <w:rPr>
                <w:rFonts w:ascii="Arial" w:cs="Arial" w:eastAsia="Arial" w:hAnsi="Arial"/>
                <w:sz w:val="23"/>
                <w:szCs w:val="23"/>
                <w:b w:val="1"/>
                <w:bCs w:val="1"/>
                <w:color w:val="auto"/>
                <w:vertAlign w:val="superscript"/>
              </w:rPr>
              <w:t>(a)</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b w:val="1"/>
                <w:bCs w:val="1"/>
                <w:color w:val="auto"/>
              </w:rPr>
              <w:t>732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6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22"/>
        </w:trPr>
        <w:tc>
          <w:tcPr>
            <w:tcW w:w="638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Effective Tax Rate</w:t>
            </w:r>
            <w:r>
              <w:rPr>
                <w:rFonts w:ascii="Arial" w:cs="Arial" w:eastAsia="Arial" w:hAnsi="Arial"/>
                <w:sz w:val="23"/>
                <w:szCs w:val="23"/>
                <w:b w:val="1"/>
                <w:bCs w:val="1"/>
                <w:color w:val="auto"/>
                <w:vertAlign w:val="superscript"/>
              </w:rPr>
              <w:t>(a)</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5.5 %</w:t>
            </w:r>
          </w:p>
        </w:tc>
      </w:tr>
    </w:tbl>
    <w:p>
      <w:pPr>
        <w:spacing w:after="0" w:line="4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amounts are non-GAAP financial measures. See "Summary of Non-GAAP Financial Measures" below for reconciliations of our GAAP to Non-GAAP measures.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net sales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ind w:left="340"/>
              <w:spacing w:after="0"/>
              <w:rPr>
                <w:sz w:val="20"/>
                <w:szCs w:val="20"/>
                <w:color w:val="auto"/>
              </w:rPr>
            </w:pPr>
            <w:r>
              <w:rPr>
                <w:rFonts w:ascii="Arial" w:cs="Arial" w:eastAsia="Arial" w:hAnsi="Arial"/>
                <w:sz w:val="14"/>
                <w:szCs w:val="14"/>
                <w:b w:val="1"/>
                <w:bCs w:val="1"/>
                <w:i w:val="1"/>
                <w:iCs w:val="1"/>
                <w:color w:val="auto"/>
              </w:rPr>
              <w:t>Percent Change in Net Sales</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Volume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Mix/Other</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Net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Divestitures and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8"/>
                <w:szCs w:val="18"/>
                <w:b w:val="1"/>
                <w:bCs w:val="1"/>
                <w:color w:val="auto"/>
                <w:w w:val="95"/>
                <w:vertAlign w:val="superscript"/>
              </w:rPr>
              <w:t>(a)</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Organic</w:t>
            </w:r>
            <w:r>
              <w:rPr>
                <w:rFonts w:ascii="Arial" w:cs="Arial" w:eastAsia="Arial" w:hAnsi="Arial"/>
                <w:sz w:val="18"/>
                <w:szCs w:val="18"/>
                <w:b w:val="1"/>
                <w:bCs w:val="1"/>
                <w:color w:val="auto"/>
                <w:w w:val="96"/>
                <w:vertAlign w:val="superscript"/>
              </w:rPr>
              <w:t>(b)</w:t>
            </w:r>
          </w:p>
        </w:tc>
        <w:tc>
          <w:tcPr>
            <w:tcW w:w="0" w:type="dxa"/>
            <w:vAlign w:val="bottom"/>
          </w:tcPr>
          <w:p>
            <w:pPr>
              <w:spacing w:after="0"/>
              <w:rPr>
                <w:sz w:val="1"/>
                <w:szCs w:val="1"/>
                <w:color w:val="auto"/>
              </w:rPr>
            </w:pPr>
          </w:p>
        </w:tc>
      </w:tr>
      <w:tr>
        <w:trPr>
          <w:trHeight w:val="189"/>
        </w:trPr>
        <w:tc>
          <w:tcPr>
            <w:tcW w:w="2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Business Exits</w:t>
            </w:r>
            <w:r>
              <w:rPr>
                <w:rFonts w:ascii="Arial" w:cs="Arial" w:eastAsia="Arial" w:hAnsi="Arial"/>
                <w:sz w:val="9"/>
                <w:szCs w:val="9"/>
                <w:b w:val="1"/>
                <w:bCs w:val="1"/>
                <w:color w:val="auto"/>
              </w:rPr>
              <w:t>(c)</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68" w:lineRule="exact"/>
        <w:rPr>
          <w:rFonts w:ascii="Arial" w:cs="Arial" w:eastAsia="Arial" w:hAnsi="Arial"/>
          <w:sz w:val="14"/>
          <w:szCs w:val="14"/>
          <w:color w:val="auto"/>
        </w:rPr>
      </w:pPr>
    </w:p>
    <w:p>
      <w:pPr>
        <w:ind w:left="340" w:right="20" w:hanging="332"/>
        <w:spacing w:after="0" w:line="301" w:lineRule="auto"/>
        <w:tabs>
          <w:tab w:leader="none" w:pos="4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1" w:lineRule="exact"/>
        <w:rPr>
          <w:rFonts w:ascii="Arial" w:cs="Arial" w:eastAsia="Arial" w:hAnsi="Arial"/>
          <w:sz w:val="14"/>
          <w:szCs w:val="14"/>
          <w:color w:val="auto"/>
        </w:rPr>
      </w:pPr>
    </w:p>
    <w:p>
      <w:pPr>
        <w:ind w:left="340" w:hanging="332"/>
        <w:spacing w:after="0" w:line="305" w:lineRule="auto"/>
        <w:tabs>
          <w:tab w:leader="none" w:pos="34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Impact of the exit of the Company's private label diaper business in the United States and other exited businesses and markets in conjunction with the 2024 Transformation Initiative.</w:t>
      </w:r>
    </w:p>
    <w:p>
      <w:pPr>
        <w:spacing w:after="0" w:line="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of $4.2 billion for the three months ended March 31, 2026 increased 2.7% primarily driven by organic sales growth and favorable currency impacts, partially offset by divestitures and business exits. Organic sales increased 2.5% primarily from volume gains of 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and Operating Profits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of $1.5 billion for the three months ended March 31, 2026 increased 1.7%, while gross margin of 36.8% decreased 40 basis points. Gross margin in the current and prior year included approximately 110 basis points and 130 basis points, respectively, of charges related to the 2024 Transformation Initiative, primarily for incremental depreciation expense. Excluding these charges, adjusted gross profit was $1.6 billion, an increase of 0.9%, while adjusted gross margin was 37.9%, a decrease of 60 basis points. The decrease was primarily due to supply chain related investments and unfavorable pricing net of cost inflation, partially offset by gross productivity savings from integrated margin management of approximately $115.</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of $753 for the three months ended March 31, 2026 increased 19.3%, inclusive of charges of $51 and $48 related to the 2024 Transformation Initiative and the Kenvue Acquisition, respectively, offset by a benefit of $120 related to the settlement of insurance claims from a previous acquisition. Results in the prior year included charges of $75 related to the 2024 Transformation Initiative. Excluding these items, adjusted operating profit for the three months ended March 31, 2026 and 2025 was $732 and $706,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adjusted operating profit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rPr>
              <w:t>Percent Change in Adjusted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2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Volume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Net Price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Input Costs</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Manufacturing</w:t>
            </w:r>
          </w:p>
        </w:tc>
        <w:tc>
          <w:tcPr>
            <w:tcW w:w="12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Other</w:t>
            </w:r>
            <w:r>
              <w:rPr>
                <w:rFonts w:ascii="Arial" w:cs="Arial" w:eastAsia="Arial" w:hAnsi="Arial"/>
                <w:sz w:val="18"/>
                <w:szCs w:val="18"/>
                <w:b w:val="1"/>
                <w:bCs w:val="1"/>
                <w:color w:val="auto"/>
                <w:w w:val="94"/>
                <w:vertAlign w:val="superscript"/>
              </w:rPr>
              <w:t>(b)</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8"/>
                <w:szCs w:val="18"/>
                <w:b w:val="1"/>
                <w:bCs w:val="1"/>
                <w:color w:val="auto"/>
                <w:w w:val="95"/>
                <w:vertAlign w:val="superscript"/>
              </w:rPr>
              <w:t>(c)</w:t>
            </w:r>
          </w:p>
        </w:tc>
        <w:tc>
          <w:tcPr>
            <w:tcW w:w="0" w:type="dxa"/>
            <w:vAlign w:val="bottom"/>
          </w:tcPr>
          <w:p>
            <w:pPr>
              <w:spacing w:after="0"/>
              <w:rPr>
                <w:sz w:val="1"/>
                <w:szCs w:val="1"/>
                <w:color w:val="auto"/>
              </w:rPr>
            </w:pPr>
          </w:p>
        </w:tc>
      </w:tr>
      <w:tr>
        <w:trPr>
          <w:trHeight w:val="189"/>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rPr>
              <w:t>Operating Profit</w:t>
            </w: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Costs</w:t>
            </w:r>
            <w:r>
              <w:rPr>
                <w:rFonts w:ascii="Arial" w:cs="Arial" w:eastAsia="Arial" w:hAnsi="Arial"/>
                <w:sz w:val="9"/>
                <w:szCs w:val="9"/>
                <w:b w:val="1"/>
                <w:bCs w:val="1"/>
                <w:color w:val="auto"/>
              </w:rPr>
              <w:t>(a)</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net impact of productivity initiatives, product and supply chain investments and other changes in cost of products sold.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impact of changes in product mix, marketing, research and general expenses and other (income) and expense, net.</w:t>
      </w:r>
    </w:p>
    <w:p>
      <w:pPr>
        <w:spacing w:after="0" w:line="68" w:lineRule="exact"/>
        <w:rPr>
          <w:rFonts w:ascii="Arial" w:cs="Arial" w:eastAsia="Arial" w:hAnsi="Arial"/>
          <w:sz w:val="14"/>
          <w:szCs w:val="14"/>
          <w:color w:val="auto"/>
        </w:rPr>
      </w:pPr>
    </w:p>
    <w:p>
      <w:pPr>
        <w:ind w:left="340" w:hanging="332"/>
        <w:spacing w:after="0" w:line="272" w:lineRule="auto"/>
        <w:tabs>
          <w:tab w:leader="none" w:pos="42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Operating Profit is a non-GAAP financial measure. See "Summary of Non-GAAP Financial Measures" below for reconciliations of our GAAP to non-GAAP measures.</w:t>
      </w:r>
    </w:p>
    <w:p>
      <w:pPr>
        <w:spacing w:after="0" w:line="3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operating profit for the three months ended March 31, 2026 increased 3.7% driven by lower marketing, research and general expenses and favorable currency impacts, partially offset by impacts from divestitures and business exits of approximately 470 basis points.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from Continuing Operations for the three months ended March 31, 2026 was $574 compared to $470 in the prior year. The increase was primarily related to the settlement of insurance claims from a previous acquisition, coupled with higher income from equity companies, partially offset by higher income tax expense.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share of net income of equity companies for the three months ended March 31, 2026 was $53 compared to $44 in the prior year. The increase was primarily driven by Kimberly-Clark de Mexico, S.A.B. de C.V., due to favorable foreign currency impacts and productivity savings, partially offset by higher inputs costs.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for the three months ended March 31, 2026 was 23.9% compared to 23.5% in the prior year. The adjusted effective tax rate for the three months ended March 31, 2026 was 26.2% compared to 20.7% in the prior year. The increase was driven by the lapping of discrete tax benefits related to the resolution of certain tax matters in the first quarter of 2025 and a change in the US tax law effective July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t>Diluted earnings per share of $1.70 for the three months ended March 31, 2026 increased 22.3% reflective of the increase in income from continuing operations discussed above. Adjusted diluted earnings per share of $1.60 decreased 1.2% primarily due to the higher adjusted effective tax rate discussed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Income Taxes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from discontinued operations, net of income taxes for the three months ended March 31, 2026 was $101 compared to $103 in the prior year. Current year results included pre-tax separation costs of $32 that were offset by the cessation of depreciation and amortization expense of approximately $30.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segment net sales and operating profit were:</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2480" w:type="dxa"/>
            <w:vAlign w:val="bottom"/>
          </w:tcPr>
          <w:p>
            <w:pPr>
              <w:jc w:val="center"/>
              <w:ind w:right="228"/>
              <w:spacing w:after="0"/>
              <w:rPr>
                <w:sz w:val="20"/>
                <w:szCs w:val="20"/>
                <w:color w:val="auto"/>
              </w:rPr>
            </w:pPr>
            <w:r>
              <w:rPr>
                <w:rFonts w:ascii="Arial" w:cs="Arial" w:eastAsia="Arial" w:hAnsi="Arial"/>
                <w:sz w:val="14"/>
                <w:szCs w:val="14"/>
                <w:b w:val="1"/>
                <w:bCs w:val="1"/>
                <w:i w:val="1"/>
                <w:iCs w:val="1"/>
                <w:color w:val="auto"/>
              </w:rPr>
              <w:t>Percent Change in Segment Net</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Volume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Mix/Other</w:t>
            </w: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Price</w:t>
            </w: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Divestitures and</w:t>
            </w: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rPr>
              <w:t>Currency</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(a)</w:t>
            </w:r>
          </w:p>
        </w:tc>
        <w:tc>
          <w:tcPr>
            <w:tcW w:w="98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18"/>
                <w:szCs w:val="18"/>
                <w:b w:val="1"/>
                <w:bCs w:val="1"/>
                <w:color w:val="auto"/>
                <w:w w:val="93"/>
                <w:vertAlign w:val="superscript"/>
              </w:rPr>
              <w:t>(b)</w:t>
            </w:r>
          </w:p>
        </w:tc>
        <w:tc>
          <w:tcPr>
            <w:tcW w:w="0" w:type="dxa"/>
            <w:vAlign w:val="bottom"/>
          </w:tcPr>
          <w:p>
            <w:pPr>
              <w:spacing w:after="0"/>
              <w:rPr>
                <w:sz w:val="1"/>
                <w:szCs w:val="1"/>
                <w:color w:val="auto"/>
              </w:rPr>
            </w:pPr>
          </w:p>
        </w:tc>
      </w:tr>
      <w:tr>
        <w:trPr>
          <w:trHeight w:val="215"/>
        </w:trPr>
        <w:tc>
          <w:tcPr>
            <w:tcW w:w="2480" w:type="dxa"/>
            <w:vAlign w:val="bottom"/>
          </w:tcPr>
          <w:p>
            <w:pPr>
              <w:jc w:val="center"/>
              <w:ind w:right="228"/>
              <w:spacing w:after="0"/>
              <w:rPr>
                <w:sz w:val="20"/>
                <w:szCs w:val="20"/>
                <w:color w:val="auto"/>
              </w:rPr>
            </w:pPr>
            <w:r>
              <w:rPr>
                <w:rFonts w:ascii="Arial" w:cs="Arial" w:eastAsia="Arial" w:hAnsi="Arial"/>
                <w:sz w:val="14"/>
                <w:szCs w:val="14"/>
                <w:b w:val="1"/>
                <w:bCs w:val="1"/>
                <w:i w:val="1"/>
                <w:iCs w:val="1"/>
                <w:color w:val="auto"/>
              </w:rPr>
              <w:t>Sales</w:t>
            </w:r>
          </w:p>
        </w:tc>
        <w:tc>
          <w:tcPr>
            <w:tcW w:w="1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Business Exits</w:t>
            </w:r>
            <w:r>
              <w:rPr>
                <w:rFonts w:ascii="Arial" w:cs="Arial" w:eastAsia="Arial" w:hAnsi="Arial"/>
                <w:sz w:val="9"/>
                <w:szCs w:val="9"/>
                <w:b w:val="1"/>
                <w:bCs w:val="1"/>
                <w:color w:val="auto"/>
              </w:rPr>
              <w:t>(c)</w:t>
            </w: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rPr>
              <w:t>Translation</w:t>
            </w:r>
          </w:p>
        </w:tc>
        <w:tc>
          <w:tcPr>
            <w:tcW w:w="10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Three Months 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334"/>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0.3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355"/>
        </w:trPr>
        <w:tc>
          <w:tcPr>
            <w:tcW w:w="2720" w:type="dxa"/>
            <w:vAlign w:val="bottom"/>
            <w:gridSpan w:val="2"/>
            <w:vMerge w:val="restart"/>
          </w:tcPr>
          <w:p>
            <w:pPr>
              <w:ind w:left="360"/>
              <w:spacing w:after="0"/>
              <w:rPr>
                <w:sz w:val="20"/>
                <w:szCs w:val="20"/>
                <w:color w:val="auto"/>
              </w:rPr>
            </w:pPr>
            <w:r>
              <w:rPr>
                <w:rFonts w:ascii="Arial" w:cs="Arial" w:eastAsia="Arial" w:hAnsi="Arial"/>
                <w:sz w:val="14"/>
                <w:szCs w:val="14"/>
                <w:b w:val="1"/>
                <w:bCs w:val="1"/>
                <w:i w:val="1"/>
                <w:iCs w:val="1"/>
                <w:color w:val="auto"/>
              </w:rPr>
              <w:t>Percent Change in Segment</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720" w:type="dxa"/>
            <w:vAlign w:val="bottom"/>
            <w:gridSpan w:val="2"/>
            <w:vMerge w:val="continue"/>
          </w:tcPr>
          <w:p>
            <w:pPr>
              <w:spacing w:after="0"/>
              <w:rPr>
                <w:sz w:val="12"/>
                <w:szCs w:val="1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Volume</w:t>
            </w: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 Price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Input Costs</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Manufacturing</w:t>
            </w:r>
          </w:p>
        </w:tc>
        <w:tc>
          <w:tcPr>
            <w:tcW w:w="1220" w:type="dxa"/>
            <w:vAlign w:val="bottom"/>
            <w:gridSpan w:val="2"/>
            <w:vMerge w:val="continue"/>
          </w:tcPr>
          <w:p>
            <w:pPr>
              <w:spacing w:after="0"/>
              <w:rPr>
                <w:sz w:val="12"/>
                <w:szCs w:val="1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(e)</w:t>
            </w:r>
          </w:p>
        </w:tc>
        <w:tc>
          <w:tcPr>
            <w:tcW w:w="11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20" w:type="dxa"/>
            <w:vAlign w:val="bottom"/>
            <w:gridSpan w:val="2"/>
          </w:tcPr>
          <w:p>
            <w:pPr>
              <w:ind w:left="760"/>
              <w:spacing w:after="0"/>
              <w:rPr>
                <w:sz w:val="20"/>
                <w:szCs w:val="20"/>
                <w:color w:val="auto"/>
              </w:rPr>
            </w:pPr>
            <w:r>
              <w:rPr>
                <w:rFonts w:ascii="Arial" w:cs="Arial" w:eastAsia="Arial" w:hAnsi="Arial"/>
                <w:sz w:val="14"/>
                <w:szCs w:val="14"/>
                <w:b w:val="1"/>
                <w:bCs w:val="1"/>
                <w:i w:val="1"/>
                <w:iCs w:val="1"/>
                <w:color w:val="auto"/>
              </w:rPr>
              <w:t>Operating Profit</w:t>
            </w: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Costs</w:t>
            </w:r>
            <w:r>
              <w:rPr>
                <w:rFonts w:ascii="Arial" w:cs="Arial" w:eastAsia="Arial" w:hAnsi="Arial"/>
                <w:sz w:val="9"/>
                <w:szCs w:val="9"/>
                <w:b w:val="1"/>
                <w:bCs w:val="1"/>
                <w:color w:val="auto"/>
              </w:rPr>
              <w:t>(d)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74"/>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(2.3)</w:t>
            </w:r>
          </w:p>
        </w:tc>
        <w:tc>
          <w:tcPr>
            <w:tcW w:w="100" w:type="dxa"/>
            <w:vAlign w:val="bottom"/>
          </w:tcPr>
          <w:p>
            <w:pPr>
              <w:spacing w:after="0"/>
              <w:rPr>
                <w:sz w:val="19"/>
                <w:szCs w:val="19"/>
                <w:color w:val="auto"/>
              </w:rPr>
            </w:pPr>
          </w:p>
        </w:tc>
        <w:tc>
          <w:tcPr>
            <w:tcW w:w="1340" w:type="dxa"/>
            <w:vAlign w:val="bottom"/>
          </w:tcPr>
          <w:p>
            <w:pPr>
              <w:ind w:left="48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0.4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IPC</w:t>
            </w:r>
          </w:p>
        </w:tc>
        <w:tc>
          <w:tcPr>
            <w:tcW w:w="10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7.6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11.9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21.9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55" w:lineRule="exact"/>
        <w:rPr>
          <w:rFonts w:ascii="Arial" w:cs="Arial" w:eastAsia="Arial" w:hAnsi="Arial"/>
          <w:sz w:val="14"/>
          <w:szCs w:val="14"/>
          <w:color w:val="auto"/>
        </w:rPr>
      </w:pPr>
    </w:p>
    <w:p>
      <w:pPr>
        <w:ind w:left="340" w:right="20" w:hanging="332"/>
        <w:spacing w:after="0" w:line="301" w:lineRule="auto"/>
        <w:tabs>
          <w:tab w:leader="none" w:pos="4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1" w:lineRule="exact"/>
        <w:rPr>
          <w:rFonts w:ascii="Arial" w:cs="Arial" w:eastAsia="Arial" w:hAnsi="Arial"/>
          <w:sz w:val="14"/>
          <w:szCs w:val="14"/>
          <w:color w:val="auto"/>
        </w:rPr>
      </w:pPr>
    </w:p>
    <w:p>
      <w:pPr>
        <w:ind w:left="340" w:hanging="332"/>
        <w:spacing w:after="0" w:line="301" w:lineRule="auto"/>
        <w:tabs>
          <w:tab w:leader="none" w:pos="345" w:val="left"/>
        </w:tabs>
        <w:numPr>
          <w:ilvl w:val="0"/>
          <w:numId w:val="15"/>
        </w:numPr>
        <w:rPr>
          <w:rFonts w:ascii="Arial" w:cs="Arial" w:eastAsia="Arial" w:hAnsi="Arial"/>
          <w:sz w:val="14"/>
          <w:szCs w:val="14"/>
          <w:color w:val="auto"/>
        </w:rPr>
      </w:pPr>
      <w:r>
        <w:rPr>
          <w:rFonts w:ascii="Arial" w:cs="Arial" w:eastAsia="Arial" w:hAnsi="Arial"/>
          <w:sz w:val="14"/>
          <w:szCs w:val="14"/>
          <w:color w:val="auto"/>
        </w:rPr>
        <w:t>Impact of the exit of the Company's private label diaper business in the United States and other exited businesses and markets in conjunction with the 2024 Transformation Initiative.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net impact of productivity initiatives, product and supply chain investments and other changes in cost of products sold.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impact of changes in product mix, marketing, research and general expenses and other (income) and expense, 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7"/>
                <w:szCs w:val="17"/>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of $2.7 billion for the three months ended March 31, 2026 decreased 0.6%, as the exit of the private label diaper business in the US was partially offset by organic sales growth. Organic sales increased 1.8% primarily from volume gains of 1.9%, driven by Baby &amp; Child Care, Family Care and Professional categories.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three months ended March 31, 2026 of $623 decreased 8.1%, driven by impacts from divestitures and business exits (approximately 490 basis points), supply chain related investments and incremental advertising spend, partially offset by gross productivity savings.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Personal Care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7"/>
                <w:szCs w:val="17"/>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21.9 %</w:t>
            </w:r>
          </w:p>
        </w:tc>
      </w:tr>
    </w:tbl>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of $1.5 billion for the three months ended March 31, 2026 increased 9.1% primarily driven by favorable currency impacts of 5.2% and organic sales growth of 4.0%. Organic sales benefited from volume and mix gains of 4.1% and 1.4%, respectively, primarily in China, Indonesia, South Korea and Brazil, partially offset by lower pricing.</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Operating profit for the three months ended March 31, 2026 of $245 increased 21.9% driven by gross productivity savings, volume and mix gains, favorable currency impacts and lower marketing, research and general expenses, partially offset by unfavorable pricing net of cost inflation.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detailed in Item 1, Note 1 to the Unaudited Interim Condensed Consolidated Financial Statements, the Condensed Consolidated Statements of Cash Flows are presented on a consolidated basis for both continuing operations and discontinued operations. As a result, unless specifically stated, the following discussion reflects Kimberly Clark's consolidated results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operations was $745 during the three months ended March 31, 2026 compared to $327 in the prior year. The increase was driven primarily by an insurance recovery associated with the settlement of claims from a previous acquisition and favorable changes in operating working capital, due in part to lower incentive payments in the current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for investing was $355 during the three months ended March 31, 2026 compared to $119 in the prior year, primarily reflecting higher planned capital spending. During the three months ended March 31, 2026, our capital spending was $424 compared to $204 in the prior year. We anticipate that full year capital spending will be approximately $1.3 billion, including incremental spending from the 2024 Transformation Initiative.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for financing was $ 527 during the three months ended March 31, 2026 compared to $683 in the prior year. This decrease was primarily due to an increase in U.S. commercial paper borrowings, partially offset by higher debt repayments in the current year. During the three months ended March 31, 2026, we did not repurchase any shares of common stock.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issue long-term debt in the public market periodically. Proceeds from the offerings are used for general corporate purposes, including repayment of maturing debt or outstanding commercial paper indebtedness.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short-term debt, which consists of U.S. commercial paper with original maturities up to 90 days and/or other short-term debt issued by non-U.S. subsidiaries, was $595 as of March 31, 2026 (included in Debt payable within one year on the Condensed Consolidated Balance Sheets). The average month-end balance of short-term debt for the three months ended March 31, 2026 was $711. These short-term borrowings provide supplemental funding to support our operations. The level of short-term debt generally fluctuates depending upon the amount of operating cash flows and the timing of customer receipts and payments for items such as pension contributions, dividends and income taxes.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pending Kenvue Acquisition, in November 2025, the Company and JPMorgan Chase Bank, N.A. (the "Bank") executed a certain bridge loan facility commitment letter, pursuant to which the Bank has committed to provide bridge financing (the "Bridge Facility") in an amount of $7.7 billion to the Company to fund the Cash Consideration, the fees, costs and expenses incurred in connection with the transactions contemplated by the Merger Agreement and to repay certain existing indebtedness of Kenvue and/or its subsidiaries. In December 2025, $3.8 billion of the commitments in the Bridge Facility were terminated in connection with entry into the New Revolving Credit Facility and DDTL Credit Facility (as defined below).</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2025, we entered into (i) the Five-Year Revolving Credit Agreement by and among Kimberly-Clark, JPMorgan Chase Bank, N.A. (the "Bank") and the other lenders party thereto (the “New Revolving Credit Facility”) and (ii) the Delayed Draw Term Loan Credit Agreement by and among Kimberly-Clark, the Bank, and the other lenders party thereto (the “DDTL Credit Facility”). The New Revolving Credit Facility matures in December 2030 and provides for a revolving credit facility of up to $4.0 billion (which may be increased by up to $1.0 billion upon obtaining additional commitments from the then-existing or new lenders and the satisfaction of certain other conditions). Concurrently with the closing of the New Revolving Credit Facility and the DDTL Credit Facility, we terminated the commitments outstanding under our previous $750 revolving credit facility, originally set to mature in May 2026 and reduced the commitments outstanding under our existing $2.0 billion revolving credit facility, which matures in June 2028, to $1.0 billion. For further information, refer to our Annual Report on Form 10-K for the year ended December 31, 2025.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As of March 31, 2026 and December 31, 2025, total debt from continuing operations was $7.1 billion and $7.2 billion, respectively.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Organization for Economic Co-Operation and Development introduced a framework under Pillar Two which includes a 15% global minimum tax rate. Many jurisdictions in which we do business have started to enact laws implementing Pillar Two. We are monitoring these developments and currently do not believe these rules will have a material impact on our financial results.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ability to generate cash from operations and our capacity to issue short-term and long-term debt are adequate to fund working capital, obligations related to our 2024 Transformation Initiative, capital spending, pension contributions, share repurchases, dividends and other needs for the foreseeable future. Further, we do not expect restrictions or taxes on repatriation of cash held outside of the U.S. to have a material effect on our overall business, liquidity, financial condition or results of operations for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Forward-Looking Statements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matters contained in this report concerning our plans and expectations regarding the pending Kenvue Acquisition (referred to below as the "pending mergers" or the "mergers") and the pending IFP Transaction, the business outlook,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assumptions used as a basis for the forward-looking statements include many estimates that, among other things, depend on the successful completion of the mergers and the achievement of future cost savings and projected volume increases. In addition, many factors outside our control, including risks and uncertainties around the pending mergers (including the risk that the anticipated benefits and synergies of the mergers may not be realized when expected or at all, the terms and scope of the expected financing in connection with the mergers may prove to be less favorable than currently expected, that the mergers may not be completed in a timely manner or at all and the risk of litigation related to the mergers), the pending IFP Transaction (including risks related to delays or failure to complete the proposed transaction, the incurrence of significant transaction and separation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factors described under Item 1A, "Risk Factors" in our Annual Report on Form 10-K for the year ended December 31, 2025,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provides the reconciliation of the non-GAAP financial measures provided in this report to the most closely related GAAP measure. These measures include: Organic Sales Growth, Adjusted Gross Profit, Adjusted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8"/>
          <w:szCs w:val="18"/>
          <w:color w:val="auto"/>
        </w:rPr>
        <w:t>Operating Profit, Adjusted Earnings per Share, and Adjusted Effective Tax Rate. All discussions regarding non-GAAP financial measures reflect results from our continuing operations for all periods presented.</w:t>
      </w:r>
    </w:p>
    <w:p>
      <w:pPr>
        <w:spacing w:after="0" w:line="45" w:lineRule="exact"/>
        <w:rPr>
          <w:sz w:val="20"/>
          <w:szCs w:val="20"/>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Sales Growth is defined as the change in Net Sales, as determined in accordance with GAAP, excluding the impacts of currency translation and divestitures and business exits.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Gross and Operating Profit, Adjusted Earnings per Share, and Adjusted Effective Tax Rate are defined as Gross Profit, Operating Profit, Diluted Earnings per Share, and Effective Tax Rate, respectively, as determined in accordance with GAAP, excluding the impacts of certain items that management believes do not reflect our underlying operations, and which are discussed in further detail below.</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income tax effect of these non-GAAP items on the Company's Adjusted Earnings per Share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from Continuing Operations Before Income Taxes and Equity Interests and Provision for income taxes.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GAAP financial measures and the reconciliation to those measures, provides investors with additional understanding of the factors and trends affecting our business than could be obtained absent these disclosures.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financial measures are not meant to be considered in isolation or as a substitute for the comparable GAAP measures, and they should be read only in conjunction with our Unaudited Interim Condensed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non-GAAP financial measures exclude the following items for the relevant time periods:</w:t>
      </w:r>
    </w:p>
    <w:p>
      <w:pPr>
        <w:spacing w:after="0" w:line="117" w:lineRule="exact"/>
        <w:rPr>
          <w:sz w:val="20"/>
          <w:szCs w:val="20"/>
          <w:color w:val="auto"/>
        </w:rPr>
      </w:pPr>
    </w:p>
    <w:p>
      <w:pPr>
        <w:jc w:val="both"/>
        <w:ind w:left="660" w:right="2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 See Item 1, Note 2 to the Unaudited Interim Condensed Consolidated Financial Statements for details.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Kenvue Acquisition - Acquisition-related costs incurred in connection with the pending Kenvue Acquisition, primarily related to external advisory, legal, accounting, and other related costs. See Item 1, Note 4 to the Unaudited Interim Condensed Consolidated Financial Statements for details.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 Recovery – Settlement of insurance claims related to a previous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Organic Sales Growth from continuing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center"/>
              <w:ind w:left="16"/>
              <w:spacing w:after="0"/>
              <w:rPr>
                <w:sz w:val="20"/>
                <w:szCs w:val="20"/>
                <w:color w:val="auto"/>
              </w:rPr>
            </w:pPr>
            <w:r>
              <w:rPr>
                <w:rFonts w:ascii="Arial" w:cs="Arial" w:eastAsia="Arial" w:hAnsi="Arial"/>
                <w:sz w:val="14"/>
                <w:szCs w:val="14"/>
                <w:b w:val="1"/>
                <w:bCs w:val="1"/>
                <w:color w:val="auto"/>
              </w:rPr>
              <w:t>Three Months Ended March 31, 2026</w:t>
            </w:r>
          </w:p>
        </w:tc>
        <w:tc>
          <w:tcPr>
            <w:tcW w:w="940" w:type="dxa"/>
            <w:vAlign w:val="bottom"/>
            <w:tcBorders>
              <w:bottom w:val="single" w:sz="8" w:color="auto"/>
            </w:tcBorders>
          </w:tcPr>
          <w:p>
            <w:pPr>
              <w:spacing w:after="0"/>
              <w:rPr>
                <w:sz w:val="17"/>
                <w:szCs w:val="17"/>
                <w:color w:val="auto"/>
              </w:rPr>
            </w:pPr>
          </w:p>
        </w:tc>
      </w:tr>
      <w:tr>
        <w:trPr>
          <w:trHeight w:val="196"/>
        </w:trPr>
        <w:tc>
          <w:tcPr>
            <w:tcW w:w="6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center"/>
              <w:ind w:right="754"/>
              <w:spacing w:after="0"/>
              <w:rPr>
                <w:sz w:val="20"/>
                <w:szCs w:val="20"/>
                <w:color w:val="auto"/>
              </w:rPr>
            </w:pPr>
            <w:r>
              <w:rPr>
                <w:rFonts w:ascii="Arial" w:cs="Arial" w:eastAsia="Arial" w:hAnsi="Arial"/>
                <w:sz w:val="14"/>
                <w:szCs w:val="14"/>
                <w:b w:val="1"/>
                <w:bCs w:val="1"/>
                <w:color w:val="auto"/>
              </w:rPr>
              <w:t>Percent change vs. the prior year period</w:t>
            </w:r>
          </w:p>
        </w:tc>
      </w:tr>
      <w:tr>
        <w:trPr>
          <w:trHeight w:val="196"/>
        </w:trPr>
        <w:tc>
          <w:tcPr>
            <w:tcW w:w="674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NA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IPC</w:t>
            </w: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8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b w:val="1"/>
                <w:bCs w:val="1"/>
                <w:color w:val="auto"/>
                <w:w w:val="95"/>
              </w:rPr>
              <w:t>2.7</w:t>
            </w:r>
          </w:p>
        </w:tc>
      </w:tr>
      <w:tr>
        <w:trPr>
          <w:trHeight w:val="230"/>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Currency Translation</w:t>
            </w:r>
          </w:p>
        </w:tc>
        <w:tc>
          <w:tcPr>
            <w:tcW w:w="580" w:type="dxa"/>
            <w:vAlign w:val="bottom"/>
          </w:tcPr>
          <w:p>
            <w:pPr>
              <w:jc w:val="center"/>
              <w:ind w:left="76"/>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434"/>
              <w:spacing w:after="0"/>
              <w:rPr>
                <w:sz w:val="20"/>
                <w:szCs w:val="20"/>
                <w:color w:val="auto"/>
              </w:rPr>
            </w:pPr>
            <w:r>
              <w:rPr>
                <w:rFonts w:ascii="Arial" w:cs="Arial" w:eastAsia="Arial" w:hAnsi="Arial"/>
                <w:sz w:val="18"/>
                <w:szCs w:val="18"/>
                <w:b w:val="1"/>
                <w:bCs w:val="1"/>
                <w:color w:val="auto"/>
              </w:rPr>
              <w:t>(2.0)</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b w:val="1"/>
                <w:bCs w:val="1"/>
                <w:color w:val="auto"/>
                <w:w w:val="95"/>
              </w:rPr>
              <w:t>2.7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b w:val="1"/>
                <w:bCs w:val="1"/>
                <w:color w:val="auto"/>
                <w:w w:val="95"/>
              </w:rPr>
              <w:t>1.8</w:t>
            </w:r>
          </w:p>
        </w:tc>
      </w:tr>
      <w:tr>
        <w:trPr>
          <w:trHeight w:val="223"/>
        </w:trPr>
        <w:tc>
          <w:tcPr>
            <w:tcW w:w="7580" w:type="dxa"/>
            <w:vAlign w:val="bottom"/>
            <w:gridSpan w:val="2"/>
          </w:tcPr>
          <w:p>
            <w:pPr>
              <w:ind w:left="20"/>
              <w:spacing w:after="0" w:line="223"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580" w:type="dxa"/>
            <w:vAlign w:val="bottom"/>
          </w:tcPr>
          <w:p>
            <w:pPr>
              <w:jc w:val="center"/>
              <w:ind w:left="96"/>
              <w:spacing w:after="0"/>
              <w:rPr>
                <w:sz w:val="20"/>
                <w:szCs w:val="20"/>
                <w:color w:val="auto"/>
              </w:rPr>
            </w:pPr>
            <w:r>
              <w:rPr>
                <w:rFonts w:ascii="Arial" w:cs="Arial" w:eastAsia="Arial" w:hAnsi="Arial"/>
                <w:sz w:val="18"/>
                <w:szCs w:val="18"/>
                <w:b w:val="1"/>
                <w:bCs w:val="1"/>
                <w:color w:val="auto"/>
                <w:w w:val="95"/>
              </w:rPr>
              <w:t>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b w:val="1"/>
                <w:bCs w:val="1"/>
                <w:color w:val="auto"/>
                <w:w w:val="95"/>
              </w:rPr>
              <w:t>2.5</w:t>
            </w:r>
          </w:p>
        </w:tc>
      </w:tr>
      <w:tr>
        <w:trPr>
          <w:trHeight w:val="21"/>
        </w:trPr>
        <w:tc>
          <w:tcPr>
            <w:tcW w:w="6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Table may not foot due to rounding.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provides a reconciliation of Adjusted Gross Profit from continuing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00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9"/>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2024 Transformation Initiative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Operating Profit from continuing operations:</w:t>
      </w:r>
    </w:p>
    <w:p>
      <w:pPr>
        <w:spacing w:after="0" w:line="154"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2024 Transformation Initiative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Insurance Recovery</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Profit</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51"/>
        </w:trPr>
        <w:tc>
          <w:tcPr>
            <w:tcW w:w="8260" w:type="dxa"/>
            <w:vAlign w:val="bottom"/>
            <w:gridSpan w:val="2"/>
          </w:tcPr>
          <w:p>
            <w:pPr>
              <w:spacing w:after="0"/>
              <w:rPr>
                <w:sz w:val="20"/>
                <w:szCs w:val="20"/>
                <w:color w:val="auto"/>
              </w:rPr>
            </w:pPr>
            <w:r>
              <w:rPr>
                <w:rFonts w:ascii="Arial" w:cs="Arial" w:eastAsia="Arial" w:hAnsi="Arial"/>
                <w:sz w:val="18"/>
                <w:szCs w:val="18"/>
                <w:color w:val="auto"/>
                <w:w w:val="99"/>
              </w:rPr>
              <w:t>The following table provides a reconciliation of Adjusted Earnings per Share from continuing operations: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5"/>
        </w:trPr>
        <w:tc>
          <w:tcPr>
            <w:tcW w:w="8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1.39</w:t>
            </w:r>
          </w:p>
        </w:tc>
      </w:tr>
      <w:tr>
        <w:trPr>
          <w:trHeight w:val="229"/>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2024 Transformation Initiative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0.23</w:t>
            </w:r>
          </w:p>
        </w:tc>
      </w:tr>
      <w:tr>
        <w:trPr>
          <w:trHeight w:val="230"/>
        </w:trPr>
        <w:tc>
          <w:tcPr>
            <w:tcW w:w="8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Insurance Recovery</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340" w:hanging="332"/>
        <w:spacing w:after="0" w:line="283" w:lineRule="auto"/>
        <w:tabs>
          <w:tab w:leader="none" w:pos="36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continuing operations Adjusted Effective Tax Rate: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2026</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Income From</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rPr>
              <w:t>Income From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Continuing</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5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rPr>
              <w:t>Operations Before</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Provision for Income</w:t>
            </w:r>
          </w:p>
        </w:tc>
        <w:tc>
          <w:tcPr>
            <w:tcW w:w="13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Operations 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Provision for Income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Income Taxes and</w:t>
            </w:r>
          </w:p>
        </w:tc>
        <w:tc>
          <w:tcPr>
            <w:tcW w:w="1660" w:type="dxa"/>
            <w:vAlign w:val="bottom"/>
            <w:gridSpan w:val="3"/>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Income Taxes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 Interests</w:t>
            </w:r>
          </w:p>
        </w:tc>
        <w:tc>
          <w:tcPr>
            <w:tcW w:w="36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Taxes</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Equity Interests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Insurance Recovery</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Adjusted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868"/>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59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8" w:name="page29"/>
    <w:bookmarkEnd w:id="28"/>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2026, an evaluation was performed under the supervision and with the participation of management, including the Chief Executive Officer and Chief Financial Officer, of the effectiveness of the design and operation of our disclosure controls and procedures. Based on that evaluation, management, including the Chief Executive Officer and Chief Financial Officer, concluded that our disclosure controls and procedures were effective as of March 31, 2026. There were no changes in our internal control over financial reporting during the quarter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9" w:name="page30"/>
    <w:bookmarkEnd w:id="29"/>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Purchases of Equity Securities by the Issuer and Affiliated Purchasers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repurchase shares of Kimberly-Clark common stock from time to time pursuant to publicly announced share repurchase programs. On January 22, 2021, our Board of Directors authorized a share repurchase program that allows for the repurchase of 40 million shares in an amount not to exceed $5 billion. As of March 31, 2026, the Company has repurchased approximately 9.2 million shares and approximately 30.8 million shares remain available for repurchase under the program. No shares were repurchased during the three months ended March 31, 2026.</w:t>
      </w:r>
    </w:p>
    <w:p>
      <w:pPr>
        <w:spacing w:after="0" w:line="1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1" w:lineRule="exact"/>
        <w:rPr>
          <w:sz w:val="20"/>
          <w:szCs w:val="20"/>
          <w:color w:val="auto"/>
        </w:rPr>
      </w:pPr>
    </w:p>
    <w:p>
      <w:pPr>
        <w:jc w:val="both"/>
        <w:ind w:left="660" w:hanging="652"/>
        <w:spacing w:after="0" w:line="262"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directors and officers may from time to time enter into plans or other arrangements for the purchase or sale of our shares that are intended to satisfy the affirmative defense conditions of Rule 10b5-1(c) or may represent a non-Rule 10b5-1 trading arrangement under the Securities Exchange Act of 1934, as amended. During the three months ended March 31, 2026, no such plans or other arrangements were adopted or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0" w:name="page31"/>
    <w:bookmarkEnd w:id="30"/>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71"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(31)a. Certification of Chief Executive Officer required by Rule 13a-14(a) or Rule 15d-14(a) of the Exchange Act, filed herewith.</w:t>
      </w:r>
    </w:p>
    <w:p>
      <w:pPr>
        <w:spacing w:after="0" w:line="17"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(31)b. Certification of Chief Financial Officer required by Rule 13a-14(a) or Rule 15d-14(a) of the Exchange Act, filed herewith.</w:t>
      </w:r>
    </w:p>
    <w:p>
      <w:pPr>
        <w:spacing w:after="0" w:line="31"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(32)a. Certification of Chief Executive Officer required by Rule 13a-14(b) or Rule 15d-14(b) of the Exchange Act and Section 1350 of Chapter 63 of Title 18 of the United States Code, furnished herewith.</w:t>
      </w:r>
    </w:p>
    <w:p>
      <w:pPr>
        <w:spacing w:after="0" w:line="31"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u w:val="single" w:color="auto"/>
          <w:color w:val="0000FF"/>
        </w:rPr>
        <w:t>Exhibit No. (32)b. Certification of Chief Financial Officer required by Rule 13a-14(b) or Rule 15d-14(b) of the Exchange Act and Section 1350 of Chapter 63 of Title 18 of the United States Code, furnished herewith.</w:t>
      </w:r>
    </w:p>
    <w:p>
      <w:pPr>
        <w:spacing w:after="0" w:line="17" w:lineRule="exact"/>
        <w:rPr>
          <w:rFonts w:ascii="Arial" w:cs="Arial" w:eastAsia="Arial" w:hAnsi="Arial"/>
          <w:sz w:val="18"/>
          <w:szCs w:val="18"/>
          <w:color w:val="auto"/>
        </w:rPr>
      </w:pPr>
    </w:p>
    <w:p>
      <w:pPr>
        <w:ind w:left="820"/>
        <w:spacing w:after="0" w:line="287" w:lineRule="auto"/>
        <w:rPr>
          <w:rFonts w:ascii="Arial" w:cs="Arial" w:eastAsia="Arial" w:hAnsi="Arial"/>
          <w:sz w:val="18"/>
          <w:szCs w:val="18"/>
          <w:color w:val="auto"/>
        </w:rPr>
      </w:pPr>
      <w:r>
        <w:rPr>
          <w:rFonts w:ascii="Arial" w:cs="Arial" w:eastAsia="Arial" w:hAnsi="Arial"/>
          <w:sz w:val="18"/>
          <w:szCs w:val="18"/>
          <w:color w:val="auto"/>
        </w:rPr>
        <w:t>Exhibit No. (101).INS XBRL Instance Document - the instance document does not appear in the Interactive Data File because its XBRL tags are embedded within the Inline XBRL document</w:t>
      </w:r>
    </w:p>
    <w:p>
      <w:pPr>
        <w:spacing w:after="0" w:line="3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Exhibit No. (101).SCH XBRL Taxonomy Extension Schema Document</w:t>
      </w:r>
    </w:p>
    <w:p>
      <w:pPr>
        <w:spacing w:after="0" w:line="103" w:lineRule="exact"/>
        <w:rPr>
          <w:rFonts w:ascii="Arial" w:cs="Arial" w:eastAsia="Arial" w:hAnsi="Arial"/>
          <w:sz w:val="18"/>
          <w:szCs w:val="18"/>
          <w:color w:val="auto"/>
        </w:rPr>
      </w:pPr>
    </w:p>
    <w:p>
      <w:pPr>
        <w:ind w:left="820" w:right="3740"/>
        <w:spacing w:after="0" w:line="372" w:lineRule="auto"/>
        <w:rPr>
          <w:rFonts w:ascii="Arial" w:cs="Arial" w:eastAsia="Arial" w:hAnsi="Arial"/>
          <w:sz w:val="18"/>
          <w:szCs w:val="18"/>
          <w:color w:val="auto"/>
        </w:rPr>
      </w:pPr>
      <w:r>
        <w:rPr>
          <w:rFonts w:ascii="Arial" w:cs="Arial" w:eastAsia="Arial" w:hAnsi="Arial"/>
          <w:sz w:val="17"/>
          <w:szCs w:val="17"/>
          <w:color w:val="auto"/>
        </w:rPr>
        <w:t>Exhibit No. (101).CAL XBRL Taxonomy Extension Calculation Linkbase Document Exhibit No. (101).DEF XBRL Taxonomy Extension Definition Linkbase Document Exhibit No. (101).LAB XBRL Taxonomy Extension Label Linkbase Document Exhibit No. (101).PRE XBRL Taxonomy Extension Presentation Linkbase Document</w:t>
      </w:r>
    </w:p>
    <w:p>
      <w:pPr>
        <w:spacing w:after="0" w:line="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Exhibit No. (104) The cover page from this Current Report on Form 10-Q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KIMBERLY-CLARK</w:t>
      </w:r>
    </w:p>
    <w:p>
      <w:pPr>
        <w:ind w:left="6480"/>
        <w:spacing w:after="0"/>
        <w:rPr>
          <w:sz w:val="20"/>
          <w:szCs w:val="20"/>
          <w:color w:val="auto"/>
        </w:rPr>
      </w:pPr>
      <w:r>
        <w:rPr>
          <w:rFonts w:ascii="Arial" w:cs="Arial" w:eastAsia="Arial" w:hAnsi="Arial"/>
          <w:sz w:val="18"/>
          <w:szCs w:val="18"/>
          <w:color w:val="auto"/>
        </w:rPr>
        <w:t>CORPORATION</w:t>
      </w:r>
    </w:p>
    <w:p>
      <w:pPr>
        <w:spacing w:after="0" w:line="1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Andrew Scribner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17780</wp:posOffset>
            </wp:positionV>
            <wp:extent cx="12515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Andrew Scribner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Vice President and</w:t>
      </w:r>
    </w:p>
    <w:p>
      <w:pPr>
        <w:ind w:left="6480"/>
        <w:spacing w:after="0"/>
        <w:rPr>
          <w:sz w:val="20"/>
          <w:szCs w:val="20"/>
          <w:color w:val="auto"/>
        </w:rPr>
      </w:pPr>
      <w:r>
        <w:rPr>
          <w:rFonts w:ascii="Arial" w:cs="Arial" w:eastAsia="Arial" w:hAnsi="Arial"/>
          <w:sz w:val="18"/>
          <w:szCs w:val="18"/>
          <w:color w:val="auto"/>
        </w:rPr>
        <w:t>Controller</w:t>
      </w:r>
    </w:p>
    <w:p>
      <w:pPr>
        <w:spacing w:after="0" w:line="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Accounting</w:t>
      </w:r>
    </w:p>
    <w:p>
      <w:pPr>
        <w:ind w:left="6480"/>
        <w:spacing w:after="0"/>
        <w:rPr>
          <w:sz w:val="20"/>
          <w:szCs w:val="20"/>
          <w:color w:val="auto"/>
        </w:rPr>
      </w:pPr>
      <w:r>
        <w:rPr>
          <w:rFonts w:ascii="Arial" w:cs="Arial" w:eastAsia="Arial" w:hAnsi="Arial"/>
          <w:sz w:val="18"/>
          <w:szCs w:val="18"/>
          <w:color w:val="auto"/>
        </w:rPr>
        <w:t>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309"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D. Hsu, certify that:</w:t>
      </w:r>
    </w:p>
    <w:p>
      <w:pPr>
        <w:spacing w:after="0" w:line="104"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Kimberly-Clark Corporation (the “registrant”);</w:t>
      </w:r>
    </w:p>
    <w:p>
      <w:pPr>
        <w:spacing w:after="0" w:line="90"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885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Michael D. Hsu</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Chairman of the Board and Chief Executive</w:t>
      </w:r>
    </w:p>
    <w:p>
      <w:pPr>
        <w:ind w:left="7660"/>
        <w:spacing w:after="0"/>
        <w:rPr>
          <w:sz w:val="20"/>
          <w:szCs w:val="20"/>
          <w:color w:val="auto"/>
        </w:rPr>
      </w:pPr>
      <w:r>
        <w:rPr>
          <w:rFonts w:ascii="Arial" w:cs="Arial" w:eastAsia="Arial" w:hAnsi="Arial"/>
          <w:sz w:val="18"/>
          <w:szCs w:val="18"/>
          <w:color w:val="auto"/>
        </w:rPr>
        <w:t>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2026</w:t>
      </w:r>
    </w:p>
    <w:p>
      <w:pPr>
        <w:sectPr>
          <w:pgSz w:w="11900" w:h="16838" w:orient="portrait"/>
          <w:cols w:equalWidth="0" w:num="1">
            <w:col w:w="11240"/>
          </w:cols>
          <w:pgMar w:left="320" w:top="89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Nelson Urdaneta, certify that:</w:t>
      </w:r>
    </w:p>
    <w:p>
      <w:pPr>
        <w:spacing w:after="0" w:line="104"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Kimberly-Clark Corporation (the “registrant”);</w:t>
      </w:r>
    </w:p>
    <w:p>
      <w:pPr>
        <w:spacing w:after="0" w:line="90"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72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Nelson Urdaneta</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 and Chief Financial</w:t>
      </w:r>
    </w:p>
    <w:p>
      <w:pPr>
        <w:ind w:left="7660"/>
        <w:spacing w:after="0"/>
        <w:rPr>
          <w:sz w:val="20"/>
          <w:szCs w:val="20"/>
          <w:color w:val="auto"/>
        </w:rPr>
      </w:pPr>
      <w:r>
        <w:rPr>
          <w:rFonts w:ascii="Arial" w:cs="Arial" w:eastAsia="Arial" w:hAnsi="Arial"/>
          <w:sz w:val="18"/>
          <w:szCs w:val="18"/>
          <w:color w:val="auto"/>
        </w:rPr>
        <w:t>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2026</w:t>
      </w:r>
    </w:p>
    <w:p>
      <w:pPr>
        <w:sectPr>
          <w:pgSz w:w="11900" w:h="16838" w:orient="portrait"/>
          <w:cols w:equalWidth="0" w:num="1">
            <w:col w:w="11240"/>
          </w:cols>
          <w:pgMar w:left="320" w:top="89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of Chapter 63 of Title 18 of the United States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Michael D. Hsu, Chairman of the Board and Chief Executive Officer of Kimberly-Clark Corporation, certify that, to my knowledge:</w:t>
      </w:r>
    </w:p>
    <w:p>
      <w:pPr>
        <w:spacing w:after="0" w:line="104" w:lineRule="exact"/>
        <w:rPr>
          <w:sz w:val="20"/>
          <w:szCs w:val="20"/>
          <w:color w:val="auto"/>
        </w:rPr>
      </w:pPr>
    </w:p>
    <w:p>
      <w:pPr>
        <w:ind w:left="660" w:right="160" w:hanging="652"/>
        <w:spacing w:after="0" w:line="287"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filed with the Securities and Exchange Commission on April 28, 2026 (“accompanied report”) fully complies with the requirements of Section 13(a) or 15(d) of the Securities Exchange Act of 1934; and</w:t>
      </w:r>
    </w:p>
    <w:p>
      <w:pPr>
        <w:spacing w:after="0" w:line="17" w:lineRule="exact"/>
        <w:rPr>
          <w:rFonts w:ascii="Arial" w:cs="Arial" w:eastAsia="Arial" w:hAnsi="Arial"/>
          <w:sz w:val="18"/>
          <w:szCs w:val="18"/>
          <w:color w:val="auto"/>
        </w:rPr>
      </w:pPr>
    </w:p>
    <w:p>
      <w:pPr>
        <w:ind w:left="660" w:right="420" w:hanging="652"/>
        <w:spacing w:after="0" w:line="287"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financial condition and results of operations of Kimberly-Clark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885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Michael D. Hsu</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Chairman of the Board and Chief Executive</w:t>
      </w:r>
    </w:p>
    <w:p>
      <w:pPr>
        <w:ind w:left="7660"/>
        <w:spacing w:after="0"/>
        <w:rPr>
          <w:sz w:val="20"/>
          <w:szCs w:val="20"/>
          <w:color w:val="auto"/>
        </w:rPr>
      </w:pPr>
      <w:r>
        <w:rPr>
          <w:rFonts w:ascii="Arial" w:cs="Arial" w:eastAsia="Arial" w:hAnsi="Arial"/>
          <w:sz w:val="18"/>
          <w:szCs w:val="18"/>
          <w:color w:val="auto"/>
        </w:rPr>
        <w:t>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2026</w:t>
      </w:r>
    </w:p>
    <w:p>
      <w:pPr>
        <w:sectPr>
          <w:pgSz w:w="11900" w:h="16838" w:orient="portrait"/>
          <w:cols w:equalWidth="0" w:num="1">
            <w:col w:w="11240"/>
          </w:cols>
          <w:pgMar w:left="320" w:top="89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of Chapter 63 of Title 18 of the United States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Nelson Urdaneta, Senior Vice President and Chief Financial Officer of Kimberly-Clark Corporation, certify that, to my knowledge:</w:t>
      </w:r>
    </w:p>
    <w:p>
      <w:pPr>
        <w:spacing w:after="0" w:line="90" w:lineRule="exact"/>
        <w:rPr>
          <w:sz w:val="20"/>
          <w:szCs w:val="20"/>
          <w:color w:val="auto"/>
        </w:rPr>
      </w:pPr>
    </w:p>
    <w:p>
      <w:pPr>
        <w:ind w:left="660" w:right="160" w:hanging="652"/>
        <w:spacing w:after="0" w:line="287"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10-Q, filed with the Securities and Exchange Commission on April 28, 2026 (“accompanied report”) fully complies with the requirements of Section 13(a) or 15(d) of the Securities Exchange Act of 1934; and</w:t>
      </w:r>
    </w:p>
    <w:p>
      <w:pPr>
        <w:spacing w:after="0" w:line="31" w:lineRule="exact"/>
        <w:rPr>
          <w:rFonts w:ascii="Arial" w:cs="Arial" w:eastAsia="Arial" w:hAnsi="Arial"/>
          <w:sz w:val="18"/>
          <w:szCs w:val="18"/>
          <w:color w:val="auto"/>
        </w:rPr>
      </w:pPr>
    </w:p>
    <w:p>
      <w:pPr>
        <w:ind w:left="660" w:right="420" w:hanging="652"/>
        <w:spacing w:after="0" w:line="287"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financial condition and results of operations of Kimberly-Clark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885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Nelson Urdaneta</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 and Chief Financial</w:t>
      </w:r>
    </w:p>
    <w:p>
      <w:pPr>
        <w:ind w:left="7660"/>
        <w:spacing w:after="0"/>
        <w:rPr>
          <w:sz w:val="20"/>
          <w:szCs w:val="20"/>
          <w:color w:val="auto"/>
        </w:rPr>
      </w:pPr>
      <w:r>
        <w:rPr>
          <w:rFonts w:ascii="Arial" w:cs="Arial" w:eastAsia="Arial" w:hAnsi="Arial"/>
          <w:sz w:val="18"/>
          <w:szCs w:val="18"/>
          <w:color w:val="auto"/>
        </w:rPr>
        <w:t>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2026-04-28T11:18:46Z</dcterms:created>
  <dcterms:modified xsi:type="dcterms:W3CDTF">2026-04-28T11:18:46Z</dcterms:modified>
</cp:coreProperties>
</file>