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Scribner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619100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75261-9100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KIMBERLY CLARK CORP</w:t>
              </w:r>
            </w:hyperlink>
            <w:r>
              <w:rPr/>
              <w:t xml:space="preserve"> [ </w:t>
            </w:r>
            <w:r>
              <w:rPr>
                <w:rFonts w:ascii="Times;serif" w:hAnsi="Times;serif"/>
                <w:color w:val="0000FF"/>
                <w:sz w:val="24"/>
                <w:shd w:fill="FFFFFF" w:val="clear"/>
              </w:rPr>
              <w:t>KMB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Controller, VP &amp; FP&amp;A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665</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655</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97.67</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97.67</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95"/>
        <w:gridCol w:w="861"/>
        <w:gridCol w:w="891"/>
        <w:gridCol w:w="771"/>
        <w:gridCol w:w="591"/>
        <w:gridCol w:w="300"/>
        <w:gridCol w:w="606"/>
        <w:gridCol w:w="516"/>
        <w:gridCol w:w="906"/>
        <w:gridCol w:w="801"/>
        <w:gridCol w:w="891"/>
        <w:gridCol w:w="68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5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5/01/2024 (w/Dividends reinvested)</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655</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5/01/2025 (w/dividends reinvested)</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665</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5/1/2026 (w/dividends reinvested)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2,816</w:t>
            </w:r>
          </w:p>
        </w:tc>
        <w:tc>
          <w:tcPr>
            <w:tcW w:w="5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2,816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share units that have vested and are paid out in shares of common stock. Includes restricted share units which were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payable on a 1-for-1 basis, granted under the Kimberly-Clark Corporation Equity Participation Plan. Additional restricted share units are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represents the automatic surrender of shares to the issuer upon vesting of restricted shares units to satisfy the reporting person's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share units vest 30 percent on each of the first and second anniversaries of the grant date and the remaining 40 percent on the third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Jeffrey S. McFall, as attorney-in-fact for Andrew Scribner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0207" TargetMode="External"/><Relationship Id="rId5" Type="http://schemas.openxmlformats.org/officeDocument/2006/relationships/hyperlink" Target="http://www.sec.gov/cgi-bin/browse-edgar?action=getcompany&amp;CIK=0000055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4195</Characters>
  <CharactersWithSpaces>4858</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